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BC" w:rsidRPr="004109D3" w:rsidRDefault="002957BC" w:rsidP="00FD5B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pt;margin-top:29.25pt;width:221.65pt;height:114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4109D3" w:rsidRPr="004109D3" w:rsidRDefault="004109D3" w:rsidP="004109D3">
                  <w:r w:rsidRPr="004109D3">
                    <w:t>Costcenter – Regninger fra Eventforce</w:t>
                  </w:r>
                </w:p>
                <w:p w:rsidR="004109D3" w:rsidRDefault="004109D3" w:rsidP="004109D3">
                  <w:pPr>
                    <w:pStyle w:val="Listeafsnit"/>
                    <w:numPr>
                      <w:ilvl w:val="0"/>
                      <w:numId w:val="4"/>
                    </w:numPr>
                  </w:pPr>
                  <w:r w:rsidRPr="004109D3">
                    <w:t>Afholdte lønudgifter</w:t>
                  </w:r>
                </w:p>
                <w:p w:rsidR="004109D3" w:rsidRDefault="004109D3" w:rsidP="004109D3">
                  <w:pPr>
                    <w:pStyle w:val="Listeafsnit"/>
                    <w:numPr>
                      <w:ilvl w:val="0"/>
                      <w:numId w:val="4"/>
                    </w:numPr>
                  </w:pPr>
                  <w:r w:rsidRPr="004109D3">
                    <w:t>Afholdte it-udgifter</w:t>
                  </w:r>
                </w:p>
                <w:p w:rsidR="004109D3" w:rsidRDefault="004109D3" w:rsidP="004109D3">
                  <w:pPr>
                    <w:pStyle w:val="Listeafsnit"/>
                    <w:numPr>
                      <w:ilvl w:val="0"/>
                      <w:numId w:val="4"/>
                    </w:numPr>
                  </w:pPr>
                  <w:r w:rsidRPr="004109D3">
                    <w:t>Afholdte logistikudgifter</w:t>
                  </w:r>
                </w:p>
                <w:p w:rsidR="004109D3" w:rsidRPr="004109D3" w:rsidRDefault="004109D3" w:rsidP="004109D3">
                  <w:pPr>
                    <w:pStyle w:val="Listeafsnit"/>
                    <w:numPr>
                      <w:ilvl w:val="0"/>
                      <w:numId w:val="4"/>
                    </w:numPr>
                  </w:pPr>
                  <w:r>
                    <w:t xml:space="preserve">Afholdte </w:t>
                  </w:r>
                  <w:r w:rsidRPr="004109D3">
                    <w:t>management</w:t>
                  </w:r>
                  <w:r>
                    <w:t>-</w:t>
                  </w:r>
                  <w:r w:rsidRPr="004109D3">
                    <w:t>udgifter/honorar</w:t>
                  </w:r>
                </w:p>
                <w:p w:rsidR="004109D3" w:rsidRDefault="004109D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38D9" w:rsidRPr="002F65FD" w:rsidRDefault="00287B2D" w:rsidP="002F65FD">
      <w:r>
        <w:rPr>
          <w:noProof/>
          <w:lang w:eastAsia="da-DK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margin-left:325.6pt;margin-top:366.6pt;width:103.7pt;height:15.35pt;rotation:1453550fd;z-index:25166745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da-DK"/>
        </w:rPr>
        <w:pict>
          <v:shape id="_x0000_s1033" type="#_x0000_t69" style="position:absolute;margin-left:516.55pt;margin-top:271.05pt;width:90.2pt;height:20.25pt;rotation:-3721327fd;z-index:25166643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da-DK"/>
        </w:rPr>
        <w:pict>
          <v:shape id="_x0000_s1032" type="#_x0000_t69" style="position:absolute;margin-left:408.75pt;margin-top:22.5pt;width:126.05pt;height:15.1pt;rotation:1010146fd;z-index:2516654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da-DK"/>
        </w:rPr>
        <w:pict>
          <v:shape id="_x0000_s1029" type="#_x0000_t202" style="position:absolute;margin-left:177.75pt;margin-top:375pt;width:220.15pt;height:110.2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4109D3" w:rsidRPr="004109D3" w:rsidRDefault="004109D3" w:rsidP="004109D3">
                  <w:r w:rsidRPr="004109D3">
                    <w:t>Bankkonto</w:t>
                  </w:r>
                </w:p>
                <w:p w:rsidR="004109D3" w:rsidRPr="004109D3" w:rsidRDefault="004109D3" w:rsidP="004109D3">
                  <w:pPr>
                    <w:numPr>
                      <w:ilvl w:val="0"/>
                      <w:numId w:val="2"/>
                    </w:numPr>
                  </w:pPr>
                  <w:r w:rsidRPr="004109D3">
                    <w:t>Her indsættes og hæves - fælleskonto for BSA og Ballerup Kommune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a-DK"/>
        </w:rPr>
        <w:pict>
          <v:shape id="_x0000_s1028" type="#_x0000_t202" style="position:absolute;margin-left:528pt;margin-top:402.75pt;width:220.15pt;height:110.25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4109D3" w:rsidRPr="004109D3" w:rsidRDefault="004109D3" w:rsidP="004109D3">
                  <w:r w:rsidRPr="004109D3">
                    <w:t>Bogføring</w:t>
                  </w:r>
                </w:p>
                <w:p w:rsidR="004109D3" w:rsidRPr="004109D3" w:rsidRDefault="004109D3" w:rsidP="004109D3">
                  <w:pPr>
                    <w:pStyle w:val="Listeafsnit"/>
                    <w:numPr>
                      <w:ilvl w:val="0"/>
                      <w:numId w:val="3"/>
                    </w:numPr>
                  </w:pPr>
                  <w:r w:rsidRPr="004109D3">
                    <w:t>Costcenter+</w:t>
                  </w:r>
                  <w:r>
                    <w:t xml:space="preserve"> </w:t>
                  </w:r>
                  <w:r w:rsidRPr="004109D3">
                    <w:t>omsætning = over-/underskud</w:t>
                  </w:r>
                </w:p>
                <w:p w:rsidR="004109D3" w:rsidRDefault="004109D3" w:rsidP="004109D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a-DK"/>
        </w:rPr>
        <w:pict>
          <v:shape id="_x0000_s1031" type="#_x0000_t202" style="position:absolute;margin-left:540.35pt;margin-top:141.75pt;width:221.65pt;height:162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4109D3" w:rsidRPr="00FD5B81" w:rsidRDefault="00FD5B81" w:rsidP="00FD5B81">
                  <w:pPr>
                    <w:rPr>
                      <w:rFonts w:eastAsiaTheme="majorEastAsia" w:cstheme="majorBidi"/>
                      <w:iCs/>
                      <w:szCs w:val="22"/>
                    </w:rPr>
                  </w:pPr>
                  <w:r w:rsidRPr="00FD5B81">
                    <w:rPr>
                      <w:rFonts w:eastAsiaTheme="majorEastAsia" w:cstheme="majorBidi"/>
                      <w:iCs/>
                      <w:szCs w:val="22"/>
                    </w:rPr>
                    <w:t>Bogføring/omsætning</w:t>
                  </w:r>
                </w:p>
                <w:p w:rsidR="00FD5B81" w:rsidRP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 w:rsidRPr="00FD5B81">
                    <w:rPr>
                      <w:rFonts w:eastAsiaTheme="majorEastAsia" w:cstheme="majorBidi"/>
                      <w:iCs/>
                      <w:szCs w:val="22"/>
                    </w:rPr>
                    <w:t>Indtægter/udgifter ved arrangementer</w:t>
                  </w:r>
                </w:p>
                <w:p w:rsidR="00FD5B81" w:rsidRP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 w:rsidRPr="00FD5B81">
                    <w:rPr>
                      <w:rFonts w:eastAsiaTheme="majorEastAsia" w:cstheme="majorBidi"/>
                      <w:iCs/>
                      <w:szCs w:val="22"/>
                    </w:rPr>
                    <w:t>El, vand og varme</w:t>
                  </w:r>
                </w:p>
                <w:p w:rsidR="00FD5B81" w:rsidRP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 w:rsidRPr="00FD5B81">
                    <w:rPr>
                      <w:rFonts w:eastAsiaTheme="majorEastAsia" w:cstheme="majorBidi"/>
                      <w:iCs/>
                      <w:szCs w:val="22"/>
                    </w:rPr>
                    <w:t>Rengøring</w:t>
                  </w:r>
                </w:p>
                <w:p w:rsid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 w:rsidRPr="00FD5B81">
                    <w:rPr>
                      <w:rFonts w:eastAsiaTheme="majorEastAsia" w:cstheme="majorBidi"/>
                      <w:iCs/>
                      <w:szCs w:val="22"/>
                    </w:rPr>
                    <w:t>Markedsføring</w:t>
                  </w:r>
                </w:p>
                <w:p w:rsid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 w:rsidRPr="00FD5B81">
                    <w:rPr>
                      <w:rFonts w:eastAsiaTheme="majorEastAsia" w:cstheme="majorBidi"/>
                      <w:iCs/>
                      <w:szCs w:val="22"/>
                    </w:rPr>
                    <w:t>Finansielle omkostninger</w:t>
                  </w:r>
                </w:p>
                <w:p w:rsid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>
                    <w:rPr>
                      <w:rFonts w:eastAsiaTheme="majorEastAsia" w:cstheme="majorBidi"/>
                      <w:iCs/>
                      <w:szCs w:val="22"/>
                    </w:rPr>
                    <w:t>El-afgift</w:t>
                  </w:r>
                </w:p>
                <w:p w:rsid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>
                    <w:rPr>
                      <w:rFonts w:eastAsiaTheme="majorEastAsia" w:cstheme="majorBidi"/>
                      <w:iCs/>
                      <w:szCs w:val="22"/>
                    </w:rPr>
                    <w:t>Vedligeholdelse</w:t>
                  </w:r>
                </w:p>
                <w:p w:rsidR="00FD5B81" w:rsidRPr="00FD5B81" w:rsidRDefault="00FD5B81" w:rsidP="00FD5B81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eastAsiaTheme="majorEastAsia" w:cstheme="majorBidi"/>
                      <w:iCs/>
                      <w:szCs w:val="22"/>
                    </w:rPr>
                  </w:pPr>
                  <w:r>
                    <w:rPr>
                      <w:rFonts w:eastAsiaTheme="majorEastAsia" w:cstheme="majorBidi"/>
                      <w:iCs/>
                      <w:szCs w:val="22"/>
                    </w:rPr>
                    <w:t>Afskrivninger</w:t>
                  </w:r>
                </w:p>
                <w:p w:rsidR="00FD5B81" w:rsidRPr="00FD5B81" w:rsidRDefault="00FD5B81" w:rsidP="00FD5B81">
                  <w:pPr>
                    <w:rPr>
                      <w:rFonts w:eastAsiaTheme="majorEastAsia" w:cstheme="majorBidi"/>
                      <w:iCs/>
                      <w:szCs w:val="22"/>
                    </w:rPr>
                  </w:pPr>
                </w:p>
                <w:p w:rsidR="00FD5B81" w:rsidRPr="00FD5B81" w:rsidRDefault="00FD5B81" w:rsidP="00FD5B81">
                  <w:pPr>
                    <w:rPr>
                      <w:rFonts w:eastAsiaTheme="majorEastAsia" w:cstheme="majorBidi"/>
                      <w:iCs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957BC">
        <w:rPr>
          <w:noProof/>
          <w:lang w:eastAsia="da-DK"/>
        </w:rPr>
        <w:pict>
          <v:shape id="_x0000_s1035" type="#_x0000_t69" style="position:absolute;margin-left:178.6pt;margin-top:224.3pt;width:243.65pt;height:20.25pt;rotation:1922872fd;z-index:251668480" fillcolor="#9bbb59 [3206]" strokecolor="#f2f2f2 [3041]" strokeweight="3pt">
            <v:shadow on="t" type="perspective" color="#4e6128 [1606]" opacity=".5" offset="1pt" offset2="-1pt"/>
          </v:shape>
        </w:pict>
      </w:r>
      <w:r w:rsidR="002957BC">
        <w:rPr>
          <w:noProof/>
          <w:lang w:eastAsia="da-DK"/>
        </w:rPr>
        <w:pict>
          <v:shape id="_x0000_s1030" type="#_x0000_t202" style="position:absolute;margin-left:31.85pt;margin-top:184.5pt;width:221.65pt;height:114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4109D3" w:rsidRPr="004109D3" w:rsidRDefault="004109D3" w:rsidP="004109D3">
                  <w:r w:rsidRPr="004109D3">
                    <w:t>Mellemregning</w:t>
                  </w:r>
                </w:p>
                <w:p w:rsidR="004109D3" w:rsidRPr="004109D3" w:rsidRDefault="004109D3" w:rsidP="004109D3">
                  <w:pPr>
                    <w:numPr>
                      <w:ilvl w:val="0"/>
                      <w:numId w:val="2"/>
                    </w:numPr>
                  </w:pPr>
                  <w:r w:rsidRPr="004109D3">
                    <w:t>Egenkapital/over-/underskud</w:t>
                  </w:r>
                </w:p>
                <w:p w:rsidR="004109D3" w:rsidRPr="004109D3" w:rsidRDefault="004109D3" w:rsidP="004109D3">
                  <w:pPr>
                    <w:numPr>
                      <w:ilvl w:val="0"/>
                      <w:numId w:val="2"/>
                    </w:numPr>
                  </w:pPr>
                  <w:r w:rsidRPr="004109D3">
                    <w:t>Ballerup Kommune dækker underskud, overskud deles 45/55 %</w:t>
                  </w:r>
                </w:p>
                <w:p w:rsidR="004109D3" w:rsidRDefault="004109D3" w:rsidP="004109D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3C38D9" w:rsidRPr="002F65FD" w:rsidSect="004109D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80D"/>
    <w:multiLevelType w:val="hybridMultilevel"/>
    <w:tmpl w:val="320A3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E7E"/>
    <w:multiLevelType w:val="hybridMultilevel"/>
    <w:tmpl w:val="01EC1142"/>
    <w:lvl w:ilvl="0" w:tplc="792861B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210A01B0">
      <w:start w:val="66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6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6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83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A1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4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4E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6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E402B5"/>
    <w:multiLevelType w:val="hybridMultilevel"/>
    <w:tmpl w:val="35404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4CCD"/>
    <w:multiLevelType w:val="hybridMultilevel"/>
    <w:tmpl w:val="3CFA9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02931"/>
    <w:multiLevelType w:val="hybridMultilevel"/>
    <w:tmpl w:val="D614483E"/>
    <w:lvl w:ilvl="0" w:tplc="EAF0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43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6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E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E9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6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E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109D3"/>
    <w:rsid w:val="00055AE0"/>
    <w:rsid w:val="000F70DC"/>
    <w:rsid w:val="001143B5"/>
    <w:rsid w:val="0011622D"/>
    <w:rsid w:val="0011714B"/>
    <w:rsid w:val="001868DB"/>
    <w:rsid w:val="001C6C32"/>
    <w:rsid w:val="001F2926"/>
    <w:rsid w:val="002143F2"/>
    <w:rsid w:val="0022719C"/>
    <w:rsid w:val="00234F94"/>
    <w:rsid w:val="002351EF"/>
    <w:rsid w:val="0024145A"/>
    <w:rsid w:val="002615C8"/>
    <w:rsid w:val="00271446"/>
    <w:rsid w:val="00287B2D"/>
    <w:rsid w:val="002957BC"/>
    <w:rsid w:val="002F65FD"/>
    <w:rsid w:val="00351FB1"/>
    <w:rsid w:val="00373D61"/>
    <w:rsid w:val="0039237E"/>
    <w:rsid w:val="003C38D9"/>
    <w:rsid w:val="004109D3"/>
    <w:rsid w:val="00487B04"/>
    <w:rsid w:val="00494835"/>
    <w:rsid w:val="004B4DD4"/>
    <w:rsid w:val="00547AE1"/>
    <w:rsid w:val="005936CF"/>
    <w:rsid w:val="005C781E"/>
    <w:rsid w:val="005D328C"/>
    <w:rsid w:val="005D7B90"/>
    <w:rsid w:val="00615262"/>
    <w:rsid w:val="00651EC5"/>
    <w:rsid w:val="006A70F3"/>
    <w:rsid w:val="00766C0C"/>
    <w:rsid w:val="007C5389"/>
    <w:rsid w:val="00814A01"/>
    <w:rsid w:val="008311F8"/>
    <w:rsid w:val="00834388"/>
    <w:rsid w:val="00851CC6"/>
    <w:rsid w:val="008D2115"/>
    <w:rsid w:val="009004CD"/>
    <w:rsid w:val="00912D19"/>
    <w:rsid w:val="00954F91"/>
    <w:rsid w:val="00981B3A"/>
    <w:rsid w:val="00986BF7"/>
    <w:rsid w:val="0099178B"/>
    <w:rsid w:val="00A20795"/>
    <w:rsid w:val="00A547FD"/>
    <w:rsid w:val="00A56723"/>
    <w:rsid w:val="00A83C34"/>
    <w:rsid w:val="00AA1052"/>
    <w:rsid w:val="00B00F16"/>
    <w:rsid w:val="00B41A8C"/>
    <w:rsid w:val="00B46550"/>
    <w:rsid w:val="00BD200C"/>
    <w:rsid w:val="00D134C6"/>
    <w:rsid w:val="00D7124E"/>
    <w:rsid w:val="00D94AAB"/>
    <w:rsid w:val="00DB44C7"/>
    <w:rsid w:val="00E370A9"/>
    <w:rsid w:val="00E51A6C"/>
    <w:rsid w:val="00E6516B"/>
    <w:rsid w:val="00F16881"/>
    <w:rsid w:val="00F51070"/>
    <w:rsid w:val="00F67698"/>
    <w:rsid w:val="00F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3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9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9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Bøgelund</dc:creator>
  <cp:lastModifiedBy>Peter Bøgelund</cp:lastModifiedBy>
  <cp:revision>2</cp:revision>
  <cp:lastPrinted>2014-07-04T09:18:00Z</cp:lastPrinted>
  <dcterms:created xsi:type="dcterms:W3CDTF">2014-07-04T10:51:00Z</dcterms:created>
  <dcterms:modified xsi:type="dcterms:W3CDTF">2014-07-04T10:51:00Z</dcterms:modified>
</cp:coreProperties>
</file>