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4678"/>
      </w:tblGrid>
      <w:tr w:rsidR="0089092F">
        <w:tc>
          <w:tcPr>
            <w:tcW w:w="794" w:type="dxa"/>
          </w:tcPr>
          <w:p w:rsidR="00B17F7C" w:rsidRPr="000D1953" w:rsidRDefault="00B17F7C">
            <w:pPr>
              <w:ind w:right="-1774"/>
              <w:rPr>
                <w:color w:val="666666"/>
                <w:sz w:val="16"/>
                <w:szCs w:val="16"/>
              </w:rPr>
            </w:pPr>
            <w:bookmarkStart w:id="0" w:name="C1"/>
            <w:bookmarkEnd w:id="0"/>
          </w:p>
        </w:tc>
        <w:tc>
          <w:tcPr>
            <w:tcW w:w="4678" w:type="dxa"/>
          </w:tcPr>
          <w:p w:rsidR="0089092F" w:rsidRPr="00534318" w:rsidRDefault="0089092F">
            <w:pPr>
              <w:ind w:right="-1774"/>
              <w:rPr>
                <w:color w:val="666666"/>
              </w:rPr>
            </w:pPr>
            <w:bookmarkStart w:id="1" w:name="til"/>
            <w:bookmarkEnd w:id="1"/>
          </w:p>
        </w:tc>
      </w:tr>
    </w:tbl>
    <w:p w:rsidR="0089092F" w:rsidRPr="00076CD0" w:rsidRDefault="0089092F">
      <w:pPr>
        <w:ind w:right="-177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</w:tblGrid>
      <w:tr w:rsidR="0089092F">
        <w:tc>
          <w:tcPr>
            <w:tcW w:w="779" w:type="dxa"/>
          </w:tcPr>
          <w:p w:rsidR="0089092F" w:rsidRPr="00534318" w:rsidRDefault="0089092F">
            <w:pPr>
              <w:ind w:right="-1774"/>
              <w:rPr>
                <w:color w:val="666666"/>
                <w:sz w:val="16"/>
                <w:szCs w:val="16"/>
              </w:rPr>
            </w:pPr>
            <w:bookmarkStart w:id="2" w:name="C2"/>
            <w:bookmarkEnd w:id="2"/>
          </w:p>
        </w:tc>
        <w:tc>
          <w:tcPr>
            <w:tcW w:w="4678" w:type="dxa"/>
          </w:tcPr>
          <w:p w:rsidR="00534318" w:rsidRPr="00534318" w:rsidRDefault="00534318">
            <w:pPr>
              <w:ind w:right="-1774"/>
              <w:rPr>
                <w:color w:val="666666"/>
              </w:rPr>
            </w:pPr>
            <w:bookmarkStart w:id="3" w:name="kopi"/>
            <w:bookmarkEnd w:id="3"/>
          </w:p>
        </w:tc>
      </w:tr>
    </w:tbl>
    <w:p w:rsidR="0089092F" w:rsidRPr="003E0C38" w:rsidRDefault="0089092F" w:rsidP="003E0C38">
      <w:pPr>
        <w:ind w:right="-83"/>
        <w:rPr>
          <w:rFonts w:ascii="Cooper Black" w:hAnsi="Cooper Black"/>
          <w:b/>
          <w:sz w:val="2"/>
          <w:szCs w:val="2"/>
        </w:rPr>
      </w:pPr>
      <w:r>
        <w:rPr>
          <w:rFonts w:ascii="Courier" w:hAnsi="Courier"/>
        </w:rPr>
        <w:br w:type="column"/>
      </w:r>
    </w:p>
    <w:tbl>
      <w:tblPr>
        <w:tblW w:w="3828" w:type="dxa"/>
        <w:tblInd w:w="-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E"/>
      </w:tblPr>
      <w:tblGrid>
        <w:gridCol w:w="3828"/>
      </w:tblGrid>
      <w:tr w:rsidR="0089092F">
        <w:tc>
          <w:tcPr>
            <w:tcW w:w="3828" w:type="dxa"/>
          </w:tcPr>
          <w:p w:rsidR="0089092F" w:rsidRPr="00153D3A" w:rsidRDefault="009C6657" w:rsidP="003E0C38">
            <w:pPr>
              <w:ind w:left="-70"/>
              <w:jc w:val="right"/>
              <w:rPr>
                <w:b/>
                <w:color w:val="666666"/>
                <w:spacing w:val="8"/>
                <w:sz w:val="16"/>
                <w:szCs w:val="16"/>
              </w:rPr>
            </w:pPr>
            <w:bookmarkStart w:id="4" w:name="Forvaltning"/>
            <w:bookmarkEnd w:id="4"/>
            <w:r>
              <w:rPr>
                <w:b/>
                <w:color w:val="666666"/>
                <w:spacing w:val="8"/>
                <w:sz w:val="16"/>
                <w:szCs w:val="16"/>
              </w:rPr>
              <w:t>BESKÆFTIGELSE OG BORGERSERVICE</w:t>
            </w:r>
          </w:p>
        </w:tc>
      </w:tr>
      <w:tr w:rsidR="0089092F">
        <w:trPr>
          <w:trHeight w:hRule="exact" w:val="200"/>
        </w:trPr>
        <w:tc>
          <w:tcPr>
            <w:tcW w:w="3828" w:type="dxa"/>
          </w:tcPr>
          <w:p w:rsidR="0089092F" w:rsidRPr="00153D3A" w:rsidRDefault="009C6657" w:rsidP="003E0C38">
            <w:pPr>
              <w:ind w:left="-70"/>
              <w:jc w:val="right"/>
              <w:rPr>
                <w:b/>
                <w:color w:val="666666"/>
                <w:sz w:val="16"/>
                <w:szCs w:val="16"/>
              </w:rPr>
            </w:pPr>
            <w:bookmarkStart w:id="5" w:name="Afdeling"/>
            <w:bookmarkEnd w:id="5"/>
            <w:r>
              <w:rPr>
                <w:b/>
                <w:color w:val="666666"/>
                <w:sz w:val="16"/>
                <w:szCs w:val="16"/>
              </w:rPr>
              <w:t xml:space="preserve">  </w:t>
            </w:r>
          </w:p>
        </w:tc>
      </w:tr>
      <w:tr w:rsidR="0089092F">
        <w:tc>
          <w:tcPr>
            <w:tcW w:w="3828" w:type="dxa"/>
          </w:tcPr>
          <w:p w:rsidR="0089092F" w:rsidRPr="00153D3A" w:rsidRDefault="0089092F" w:rsidP="003E0C38">
            <w:pPr>
              <w:ind w:left="-70"/>
              <w:jc w:val="right"/>
              <w:rPr>
                <w:b/>
                <w:color w:val="666666"/>
                <w:sz w:val="16"/>
                <w:szCs w:val="16"/>
              </w:rPr>
            </w:pP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9C6657" w:rsidP="00BC5396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6" w:name="Dato"/>
            <w:bookmarkEnd w:id="6"/>
            <w:r>
              <w:rPr>
                <w:color w:val="666666"/>
                <w:sz w:val="16"/>
                <w:szCs w:val="16"/>
              </w:rPr>
              <w:t>Dato: 2</w:t>
            </w:r>
            <w:r w:rsidR="00BC5396">
              <w:rPr>
                <w:color w:val="666666"/>
                <w:sz w:val="16"/>
                <w:szCs w:val="16"/>
              </w:rPr>
              <w:t>3</w:t>
            </w:r>
            <w:r>
              <w:rPr>
                <w:color w:val="666666"/>
                <w:sz w:val="16"/>
                <w:szCs w:val="16"/>
              </w:rPr>
              <w:t>. oktober 2014</w:t>
            </w: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B17F7C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9C6657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7" w:name="B1"/>
            <w:bookmarkEnd w:id="7"/>
            <w:r>
              <w:rPr>
                <w:color w:val="666666"/>
                <w:sz w:val="16"/>
                <w:szCs w:val="16"/>
              </w:rPr>
              <w:t xml:space="preserve">Tlf. dir.: </w:t>
            </w:r>
            <w:proofErr w:type="gramStart"/>
            <w:r>
              <w:rPr>
                <w:color w:val="666666"/>
                <w:sz w:val="16"/>
                <w:szCs w:val="16"/>
              </w:rPr>
              <w:t>41750258</w:t>
            </w:r>
            <w:proofErr w:type="gramEnd"/>
          </w:p>
        </w:tc>
      </w:tr>
      <w:tr w:rsidR="00B17F7C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3828" w:type="dxa"/>
          </w:tcPr>
          <w:p w:rsidR="00B17F7C" w:rsidRPr="00153D3A" w:rsidRDefault="009C6657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8" w:name="B2"/>
            <w:bookmarkEnd w:id="8"/>
            <w:r>
              <w:rPr>
                <w:color w:val="666666"/>
                <w:sz w:val="16"/>
                <w:szCs w:val="16"/>
              </w:rPr>
              <w:t>E-mail: Borger@balk.dk</w:t>
            </w: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9C6657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9" w:name="B3"/>
            <w:bookmarkEnd w:id="9"/>
            <w:r>
              <w:rPr>
                <w:color w:val="666666"/>
                <w:sz w:val="16"/>
                <w:szCs w:val="16"/>
              </w:rPr>
              <w:t>Kontakt: Jakob Holtoug Bjældager (jakb)</w:t>
            </w: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9C6657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10" w:name="B4"/>
            <w:bookmarkEnd w:id="10"/>
            <w:proofErr w:type="spellStart"/>
            <w:r>
              <w:rPr>
                <w:color w:val="666666"/>
                <w:sz w:val="16"/>
                <w:szCs w:val="16"/>
              </w:rPr>
              <w:t>Sagsnr</w:t>
            </w:r>
            <w:proofErr w:type="spellEnd"/>
            <w:r>
              <w:rPr>
                <w:color w:val="666666"/>
                <w:sz w:val="16"/>
                <w:szCs w:val="16"/>
              </w:rPr>
              <w:t>.: 15.20.00-P22-2-14</w:t>
            </w: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B17F7C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11" w:name="B5"/>
            <w:bookmarkEnd w:id="11"/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B17F7C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12" w:name="B6"/>
            <w:bookmarkEnd w:id="12"/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B17F7C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  <w:bookmarkStart w:id="13" w:name="B7"/>
            <w:bookmarkEnd w:id="13"/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B17F7C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B17F7C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B17F7C" w:rsidRPr="00153D3A" w:rsidRDefault="00B17F7C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076CD0">
        <w:trPr>
          <w:trHeight w:hRule="exact" w:val="220"/>
        </w:trPr>
        <w:tc>
          <w:tcPr>
            <w:tcW w:w="3828" w:type="dxa"/>
          </w:tcPr>
          <w:p w:rsidR="00076CD0" w:rsidRPr="00153D3A" w:rsidRDefault="00076CD0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076CD0">
        <w:trPr>
          <w:trHeight w:hRule="exact" w:val="220"/>
        </w:trPr>
        <w:tc>
          <w:tcPr>
            <w:tcW w:w="3828" w:type="dxa"/>
          </w:tcPr>
          <w:p w:rsidR="00076CD0" w:rsidRPr="00153D3A" w:rsidRDefault="00076CD0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076CD0">
        <w:trPr>
          <w:trHeight w:hRule="exact" w:val="220"/>
        </w:trPr>
        <w:tc>
          <w:tcPr>
            <w:tcW w:w="3828" w:type="dxa"/>
          </w:tcPr>
          <w:p w:rsidR="00076CD0" w:rsidRPr="00153D3A" w:rsidRDefault="00076CD0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B17F7C">
        <w:trPr>
          <w:trHeight w:hRule="exact" w:val="220"/>
        </w:trPr>
        <w:tc>
          <w:tcPr>
            <w:tcW w:w="3828" w:type="dxa"/>
          </w:tcPr>
          <w:p w:rsidR="00076CD0" w:rsidRPr="007621E9" w:rsidRDefault="00076CD0" w:rsidP="003E0C38">
            <w:pPr>
              <w:ind w:left="-70"/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076CD0">
        <w:trPr>
          <w:trHeight w:hRule="exact" w:val="220"/>
        </w:trPr>
        <w:tc>
          <w:tcPr>
            <w:tcW w:w="3828" w:type="dxa"/>
          </w:tcPr>
          <w:p w:rsidR="00076CD0" w:rsidRDefault="00076CD0" w:rsidP="00076CD0">
            <w:pPr>
              <w:rPr>
                <w:color w:val="666666"/>
                <w:sz w:val="16"/>
                <w:szCs w:val="16"/>
              </w:rPr>
            </w:pPr>
          </w:p>
        </w:tc>
      </w:tr>
      <w:tr w:rsidR="00076CD0">
        <w:trPr>
          <w:trHeight w:hRule="exact" w:val="220"/>
        </w:trPr>
        <w:tc>
          <w:tcPr>
            <w:tcW w:w="3828" w:type="dxa"/>
          </w:tcPr>
          <w:p w:rsidR="00076CD0" w:rsidRDefault="00076CD0" w:rsidP="00076CD0">
            <w:pPr>
              <w:rPr>
                <w:color w:val="666666"/>
                <w:sz w:val="16"/>
                <w:szCs w:val="16"/>
              </w:rPr>
            </w:pPr>
          </w:p>
        </w:tc>
      </w:tr>
    </w:tbl>
    <w:p w:rsidR="0089092F" w:rsidRDefault="0089092F">
      <w:pPr>
        <w:sectPr w:rsidR="0089092F" w:rsidSect="00EB5A55">
          <w:headerReference w:type="first" r:id="rId7"/>
          <w:footerReference w:type="first" r:id="rId8"/>
          <w:pgSz w:w="11906" w:h="16838" w:code="9"/>
          <w:pgMar w:top="2041" w:right="720" w:bottom="1418" w:left="1701" w:header="709" w:footer="284" w:gutter="0"/>
          <w:cols w:num="2" w:space="284" w:equalWidth="0">
            <w:col w:w="5741" w:space="425"/>
            <w:col w:w="3319"/>
          </w:cols>
          <w:titlePg/>
        </w:sectPr>
      </w:pPr>
    </w:p>
    <w:p w:rsidR="0089092F" w:rsidRPr="00013FA5" w:rsidRDefault="009C6657" w:rsidP="00076CD0">
      <w:pPr>
        <w:jc w:val="center"/>
        <w:rPr>
          <w:color w:val="808080"/>
          <w:sz w:val="48"/>
          <w:szCs w:val="48"/>
        </w:rPr>
      </w:pPr>
      <w:r>
        <w:rPr>
          <w:b/>
          <w:color w:val="808080"/>
          <w:sz w:val="48"/>
          <w:szCs w:val="48"/>
        </w:rPr>
        <w:lastRenderedPageBreak/>
        <w:t>Seks scenarier for en fremtidig aktiveringsindsats</w:t>
      </w:r>
    </w:p>
    <w:p w:rsidR="009C6657" w:rsidRPr="009C6657" w:rsidRDefault="009C6657" w:rsidP="009C6657">
      <w:pPr>
        <w:rPr>
          <w:b/>
        </w:rPr>
      </w:pPr>
      <w:bookmarkStart w:id="14" w:name="overskrift"/>
      <w:bookmarkEnd w:id="14"/>
      <w:r w:rsidRPr="009C6657">
        <w:rPr>
          <w:b/>
        </w:rPr>
        <w:t>Indledning</w:t>
      </w:r>
    </w:p>
    <w:p w:rsidR="009C6657" w:rsidRPr="009C6657" w:rsidRDefault="009C6657" w:rsidP="009C6657">
      <w:r w:rsidRPr="009C6657">
        <w:t>Mandag den 29. september drøftede Center for Beskæftigelse og Borgerservice kommunens aktiveringsindsats overfor jobcentrets målgrupper på et halvdags-semi</w:t>
      </w:r>
      <w:r w:rsidR="007F0448">
        <w:t>nar. I drøftelserne deltog center</w:t>
      </w:r>
      <w:r w:rsidRPr="009C6657">
        <w:t>chef, sekretariat og ledere fra jobcentret og Kompetencecentret.</w:t>
      </w:r>
    </w:p>
    <w:p w:rsidR="009C6657" w:rsidRPr="009C6657" w:rsidRDefault="009C6657" w:rsidP="009C6657"/>
    <w:p w:rsidR="009C6657" w:rsidRPr="009C6657" w:rsidRDefault="009C6657" w:rsidP="009C6657">
      <w:r w:rsidRPr="009C6657">
        <w:t>Nedenfor er beskrevet seks tænkte scenarier for en fremtidig aktiveringsindsats, som dannede omdrejningspunkt for centrets drøftelse heraf. De væsentligste input fra centrets drøftelse til hvert scenarie fremgår ligeledes.</w:t>
      </w:r>
    </w:p>
    <w:p w:rsidR="009C6657" w:rsidRPr="009C6657" w:rsidRDefault="009C6657" w:rsidP="009C6657"/>
    <w:p w:rsidR="009C6657" w:rsidRPr="009C6657" w:rsidRDefault="009C6657" w:rsidP="009C6657">
      <w:r w:rsidRPr="009C6657">
        <w:t xml:space="preserve">Formålet med </w:t>
      </w:r>
      <w:r w:rsidR="007F0448">
        <w:t>centrets seminar</w:t>
      </w:r>
      <w:r w:rsidRPr="009C6657">
        <w:t xml:space="preserve"> var at få en faglig drøftelse af en fremtidig aktiv</w:t>
      </w:r>
      <w:r w:rsidRPr="009C6657">
        <w:t>e</w:t>
      </w:r>
      <w:r w:rsidRPr="009C6657">
        <w:t xml:space="preserve">ringsindsats i bred for stand. </w:t>
      </w:r>
      <w:r w:rsidR="007F0448">
        <w:t>Metoden</w:t>
      </w:r>
      <w:r w:rsidRPr="009C6657">
        <w:t xml:space="preserve"> var at diskutere </w:t>
      </w:r>
      <w:r w:rsidR="007F0448">
        <w:t xml:space="preserve">og kvalificere </w:t>
      </w:r>
      <w:r w:rsidRPr="009C6657">
        <w:t>de tænkte scenarier</w:t>
      </w:r>
      <w:r w:rsidR="007F0448">
        <w:t>, men hensigten var ikke at der skulle</w:t>
      </w:r>
      <w:r w:rsidRPr="009C6657">
        <w:t xml:space="preserve"> vælge</w:t>
      </w:r>
      <w:r w:rsidR="007F0448">
        <w:t>s</w:t>
      </w:r>
      <w:r w:rsidRPr="009C6657">
        <w:t>/prioritere</w:t>
      </w:r>
      <w:r w:rsidR="007F0448">
        <w:t>s</w:t>
      </w:r>
      <w:r w:rsidRPr="009C6657">
        <w:t xml:space="preserve"> imellem dem.</w:t>
      </w:r>
      <w:r w:rsidR="000813D5">
        <w:t xml:space="preserve"> Det hænger sammen med at scenarierne som input til og redskab for drøftelserne repræsenterede en række ”arketyper” for aktiveringsindsatsen frem for egentlige forslag til en fremtidig aktiveringsindsats.</w:t>
      </w:r>
    </w:p>
    <w:p w:rsidR="009C6657" w:rsidRPr="009C6657" w:rsidRDefault="009C6657" w:rsidP="009C6657"/>
    <w:p w:rsidR="009C6657" w:rsidRPr="009C6657" w:rsidRDefault="009C6657" w:rsidP="009C6657">
      <w:r w:rsidRPr="009C6657">
        <w:t>S</w:t>
      </w:r>
      <w:r w:rsidRPr="009C6657">
        <w:rPr>
          <w:rFonts w:eastAsia="+mn-ea"/>
        </w:rPr>
        <w:t>cenarier</w:t>
      </w:r>
      <w:r w:rsidRPr="009C6657">
        <w:t>ne for aktiveringsindsatsen</w:t>
      </w:r>
      <w:r w:rsidRPr="009C6657">
        <w:rPr>
          <w:rFonts w:eastAsia="+mn-ea"/>
        </w:rPr>
        <w:t xml:space="preserve"> er forskellige på en række punkter</w:t>
      </w:r>
      <w:r w:rsidR="007F0448">
        <w:rPr>
          <w:rFonts w:eastAsia="+mn-ea"/>
        </w:rPr>
        <w:t>. I</w:t>
      </w:r>
      <w:r w:rsidR="007F0448">
        <w:t xml:space="preserve"> nogle ti</w:t>
      </w:r>
      <w:r w:rsidR="007F0448">
        <w:t>l</w:t>
      </w:r>
      <w:r w:rsidR="007F0448">
        <w:t>fælde er de hinandens modsætninger, og derfor kan de ikke</w:t>
      </w:r>
      <w:r w:rsidR="000813D5">
        <w:t xml:space="preserve"> alle</w:t>
      </w:r>
      <w:r w:rsidR="007F0448">
        <w:t xml:space="preserve"> frit kombineres. Scenarierne adskiller sig især vedrørende:</w:t>
      </w:r>
      <w:r w:rsidRPr="009C6657">
        <w:rPr>
          <w:rFonts w:eastAsia="+mn-ea"/>
        </w:rPr>
        <w:t xml:space="preserve"> </w:t>
      </w:r>
    </w:p>
    <w:p w:rsidR="009C6657" w:rsidRPr="009C6657" w:rsidRDefault="009C6657" w:rsidP="009C6657">
      <w:pPr>
        <w:pStyle w:val="Listeafsnit"/>
        <w:numPr>
          <w:ilvl w:val="0"/>
          <w:numId w:val="32"/>
        </w:numPr>
        <w:rPr>
          <w:sz w:val="20"/>
          <w:szCs w:val="20"/>
        </w:rPr>
      </w:pPr>
      <w:r w:rsidRPr="009C6657">
        <w:rPr>
          <w:sz w:val="20"/>
          <w:szCs w:val="20"/>
        </w:rPr>
        <w:t>Prioritering af målgrupper</w:t>
      </w:r>
    </w:p>
    <w:p w:rsidR="009C6657" w:rsidRPr="009C6657" w:rsidRDefault="009C6657" w:rsidP="009C6657">
      <w:pPr>
        <w:pStyle w:val="Listeafsnit"/>
        <w:numPr>
          <w:ilvl w:val="0"/>
          <w:numId w:val="32"/>
        </w:numPr>
        <w:rPr>
          <w:sz w:val="20"/>
          <w:szCs w:val="20"/>
        </w:rPr>
      </w:pPr>
      <w:r w:rsidRPr="009C6657">
        <w:rPr>
          <w:sz w:val="20"/>
          <w:szCs w:val="20"/>
        </w:rPr>
        <w:t>Anvendte aktiveringsredskaber</w:t>
      </w:r>
    </w:p>
    <w:p w:rsidR="009C6657" w:rsidRPr="009C6657" w:rsidRDefault="009C6657" w:rsidP="009C6657">
      <w:pPr>
        <w:pStyle w:val="Listeafsnit"/>
        <w:numPr>
          <w:ilvl w:val="0"/>
          <w:numId w:val="32"/>
        </w:numPr>
        <w:rPr>
          <w:sz w:val="20"/>
          <w:szCs w:val="20"/>
        </w:rPr>
      </w:pPr>
      <w:r w:rsidRPr="009C6657">
        <w:rPr>
          <w:sz w:val="20"/>
          <w:szCs w:val="20"/>
        </w:rPr>
        <w:t>Samlet aktiveringsomfan</w:t>
      </w:r>
      <w:r w:rsidR="00D137B1">
        <w:rPr>
          <w:sz w:val="20"/>
          <w:szCs w:val="20"/>
        </w:rPr>
        <w:t>g og -ø</w:t>
      </w:r>
      <w:r w:rsidRPr="009C6657">
        <w:rPr>
          <w:sz w:val="20"/>
          <w:szCs w:val="20"/>
        </w:rPr>
        <w:t>konomi</w:t>
      </w:r>
    </w:p>
    <w:p w:rsidR="009C6657" w:rsidRPr="009C6657" w:rsidRDefault="009C6657" w:rsidP="009C6657">
      <w:pPr>
        <w:pStyle w:val="Listeafsnit"/>
        <w:numPr>
          <w:ilvl w:val="0"/>
          <w:numId w:val="32"/>
        </w:numPr>
        <w:rPr>
          <w:sz w:val="20"/>
          <w:szCs w:val="20"/>
        </w:rPr>
      </w:pPr>
      <w:r w:rsidRPr="009C6657">
        <w:rPr>
          <w:sz w:val="20"/>
          <w:szCs w:val="20"/>
        </w:rPr>
        <w:t xml:space="preserve">Styring og tilbudsgivning </w:t>
      </w:r>
    </w:p>
    <w:p w:rsidR="009C6657" w:rsidRDefault="009C6657" w:rsidP="009C6657"/>
    <w:p w:rsidR="009C6657" w:rsidRPr="009C6657" w:rsidRDefault="009C6657" w:rsidP="009C6657">
      <w:r w:rsidRPr="009C6657">
        <w:rPr>
          <w:bCs/>
        </w:rPr>
        <w:t>De 6 scenarier er helt kort:</w:t>
      </w:r>
    </w:p>
    <w:p w:rsidR="008D4F67" w:rsidRPr="009C6657" w:rsidRDefault="009C6657" w:rsidP="009C6657">
      <w:pPr>
        <w:numPr>
          <w:ilvl w:val="0"/>
          <w:numId w:val="33"/>
        </w:numPr>
        <w:tabs>
          <w:tab w:val="clear" w:pos="360"/>
        </w:tabs>
      </w:pPr>
      <w:r>
        <w:t>”</w:t>
      </w:r>
      <w:r w:rsidRPr="009C6657">
        <w:t xml:space="preserve">De </w:t>
      </w:r>
      <w:proofErr w:type="spellStart"/>
      <w:r w:rsidRPr="009C6657">
        <w:t>lavthængende</w:t>
      </w:r>
      <w:proofErr w:type="spellEnd"/>
      <w:r w:rsidRPr="009C6657">
        <w:t xml:space="preserve"> frugter</w:t>
      </w:r>
      <w:r>
        <w:t>” - p</w:t>
      </w:r>
      <w:r w:rsidRPr="009C6657">
        <w:t>rioritering af de arbejdsmarkedsparate</w:t>
      </w:r>
    </w:p>
    <w:p w:rsidR="008D4F67" w:rsidRPr="009C6657" w:rsidRDefault="009C6657" w:rsidP="009C6657">
      <w:pPr>
        <w:numPr>
          <w:ilvl w:val="0"/>
          <w:numId w:val="33"/>
        </w:numPr>
        <w:tabs>
          <w:tab w:val="clear" w:pos="360"/>
        </w:tabs>
      </w:pPr>
      <w:r>
        <w:t>”</w:t>
      </w:r>
      <w:r w:rsidRPr="009C6657">
        <w:t>Det (lange) seje træk</w:t>
      </w:r>
      <w:r>
        <w:t>” - p</w:t>
      </w:r>
      <w:r w:rsidRPr="009C6657">
        <w:t>rioritering af svageste målgrupper</w:t>
      </w:r>
    </w:p>
    <w:p w:rsidR="008D4F67" w:rsidRPr="009C6657" w:rsidRDefault="009C6657" w:rsidP="009C6657">
      <w:pPr>
        <w:numPr>
          <w:ilvl w:val="0"/>
          <w:numId w:val="33"/>
        </w:numPr>
        <w:tabs>
          <w:tab w:val="clear" w:pos="360"/>
        </w:tabs>
      </w:pPr>
      <w:r>
        <w:t>”</w:t>
      </w:r>
      <w:r w:rsidRPr="009C6657">
        <w:t>Minimums-scenariet</w:t>
      </w:r>
      <w:r>
        <w:t>” - f</w:t>
      </w:r>
      <w:r w:rsidRPr="009C6657">
        <w:t>okus på '</w:t>
      </w:r>
      <w:proofErr w:type="spellStart"/>
      <w:r w:rsidRPr="009C6657">
        <w:t>ret-og-pligt</w:t>
      </w:r>
      <w:proofErr w:type="spellEnd"/>
      <w:r w:rsidRPr="009C6657">
        <w:t xml:space="preserve">' med </w:t>
      </w:r>
      <w:r w:rsidR="007F0448">
        <w:t xml:space="preserve">ensartede </w:t>
      </w:r>
      <w:r w:rsidRPr="009C6657">
        <w:t>og billig</w:t>
      </w:r>
      <w:r w:rsidR="007F0448">
        <w:t>e</w:t>
      </w:r>
      <w:r w:rsidRPr="009C6657">
        <w:t xml:space="preserve"> tilbud</w:t>
      </w:r>
    </w:p>
    <w:p w:rsidR="008D4F67" w:rsidRPr="009C6657" w:rsidRDefault="009C6657" w:rsidP="009C6657">
      <w:pPr>
        <w:numPr>
          <w:ilvl w:val="0"/>
          <w:numId w:val="33"/>
        </w:numPr>
        <w:tabs>
          <w:tab w:val="clear" w:pos="360"/>
        </w:tabs>
      </w:pPr>
      <w:r>
        <w:t>”</w:t>
      </w:r>
      <w:r w:rsidR="00D137B1" w:rsidRPr="00D137B1">
        <w:t>Praktik &amp; Mentor</w:t>
      </w:r>
      <w:r w:rsidRPr="00D137B1">
        <w:t>-scenariet</w:t>
      </w:r>
      <w:r>
        <w:t>” - m</w:t>
      </w:r>
      <w:r w:rsidRPr="009C6657">
        <w:t>arkant prioritering af mentor og virksomhed</w:t>
      </w:r>
      <w:r w:rsidRPr="009C6657">
        <w:t>s</w:t>
      </w:r>
      <w:r w:rsidRPr="009C6657">
        <w:t>aktivering</w:t>
      </w:r>
    </w:p>
    <w:p w:rsidR="008D4F67" w:rsidRPr="009C6657" w:rsidRDefault="009C6657" w:rsidP="009C6657">
      <w:pPr>
        <w:numPr>
          <w:ilvl w:val="0"/>
          <w:numId w:val="33"/>
        </w:numPr>
        <w:tabs>
          <w:tab w:val="clear" w:pos="360"/>
        </w:tabs>
      </w:pPr>
      <w:r>
        <w:lastRenderedPageBreak/>
        <w:t>”</w:t>
      </w:r>
      <w:r w:rsidR="000813D5">
        <w:t>Aktiverings-buffet</w:t>
      </w:r>
      <w:r>
        <w:t>” - m</w:t>
      </w:r>
      <w:r w:rsidRPr="009C6657">
        <w:t>aksimal borgerinddragelse</w:t>
      </w:r>
      <w:r w:rsidR="000813D5">
        <w:t xml:space="preserve"> i tilrettelæggelsen af indsa</w:t>
      </w:r>
      <w:r w:rsidR="000813D5">
        <w:t>t</w:t>
      </w:r>
      <w:r w:rsidR="000813D5">
        <w:t>sen</w:t>
      </w:r>
      <w:r w:rsidRPr="009C6657">
        <w:t xml:space="preserve"> frem for</w:t>
      </w:r>
      <w:r w:rsidR="007F0448">
        <w:t xml:space="preserve"> en dominerende</w:t>
      </w:r>
      <w:r w:rsidRPr="009C6657">
        <w:t xml:space="preserve"> aktiveringsstrategi</w:t>
      </w:r>
    </w:p>
    <w:p w:rsidR="009C6657" w:rsidRPr="009C6657" w:rsidRDefault="009C6657" w:rsidP="009C6657">
      <w:pPr>
        <w:numPr>
          <w:ilvl w:val="0"/>
          <w:numId w:val="33"/>
        </w:numPr>
        <w:spacing w:after="200" w:line="276" w:lineRule="auto"/>
      </w:pPr>
      <w:r w:rsidRPr="009C6657">
        <w:t>”</w:t>
      </w:r>
      <w:proofErr w:type="spellStart"/>
      <w:r w:rsidRPr="009C6657">
        <w:t>STAR-scenariet</w:t>
      </w:r>
      <w:proofErr w:type="spellEnd"/>
      <w:r w:rsidRPr="009C6657">
        <w:t>” - fokus på statens anbefalinger og økonomiske rammer</w:t>
      </w:r>
      <w:r w:rsidRPr="009C6657">
        <w:br w:type="page"/>
      </w:r>
    </w:p>
    <w:p w:rsidR="009C6657" w:rsidRPr="009C6657" w:rsidRDefault="009C6657" w:rsidP="009C6657">
      <w:pPr>
        <w:rPr>
          <w:b/>
        </w:rPr>
      </w:pPr>
      <w:r w:rsidRPr="009C6657">
        <w:rPr>
          <w:b/>
        </w:rPr>
        <w:lastRenderedPageBreak/>
        <w:t xml:space="preserve">1) De </w:t>
      </w:r>
      <w:proofErr w:type="spellStart"/>
      <w:r w:rsidRPr="009C6657">
        <w:rPr>
          <w:b/>
        </w:rPr>
        <w:t>lavthængende</w:t>
      </w:r>
      <w:proofErr w:type="spellEnd"/>
      <w:r w:rsidRPr="009C6657">
        <w:rPr>
          <w:b/>
        </w:rPr>
        <w:t xml:space="preserve"> frugter</w:t>
      </w:r>
    </w:p>
    <w:p w:rsidR="009C6657" w:rsidRPr="009C6657" w:rsidRDefault="009C6657" w:rsidP="009C6657"/>
    <w:p w:rsidR="009C6657" w:rsidRPr="009C6657" w:rsidRDefault="007F0448" w:rsidP="009C6657">
      <w:pPr>
        <w:rPr>
          <w:i/>
          <w:u w:val="single"/>
        </w:rPr>
      </w:pPr>
      <w:r>
        <w:rPr>
          <w:i/>
          <w:u w:val="single"/>
        </w:rPr>
        <w:t>Beskrivelse af scenariet</w:t>
      </w:r>
    </w:p>
    <w:p w:rsidR="009C6657" w:rsidRPr="009C6657" w:rsidRDefault="007F0448" w:rsidP="009C6657">
      <w:r>
        <w:t>Man kunne vælge</w:t>
      </w:r>
      <w:r w:rsidR="009C6657" w:rsidRPr="009C6657">
        <w:t xml:space="preserve">, at den aktive indsats i videst mulige omfang skal fokusere på de målgrupper, som er tættest på job/uddannelse. Dvs. forsikrede ledige, </w:t>
      </w:r>
      <w:proofErr w:type="spellStart"/>
      <w:r w:rsidR="009C6657" w:rsidRPr="009C6657">
        <w:t>jobparate</w:t>
      </w:r>
      <w:proofErr w:type="spellEnd"/>
      <w:r w:rsidR="009C6657" w:rsidRPr="009C6657">
        <w:t xml:space="preserve">, uddannelsesparate og sygedagpengemodtagere med job. </w:t>
      </w:r>
    </w:p>
    <w:p w:rsidR="009C6657" w:rsidRPr="009C6657" w:rsidRDefault="009C6657" w:rsidP="009C6657"/>
    <w:p w:rsidR="009C6657" w:rsidRPr="009C6657" w:rsidRDefault="009C6657" w:rsidP="009C6657">
      <w:r w:rsidRPr="009C6657">
        <w:t>Indsatsen skal rette sig mod påbegyndelse af job/uddannelse indenfor en meget kort horisont. De ledige skal presses ind i job/uddannelse ved hyppig aktivering og opfølgning, og intensiv opfølgning overfor både den sygemeldte, arbejdspladsen og evt. interessenter i sundhedsvæsenet skal hjælpe sygemeldte tilbage i deres job.</w:t>
      </w:r>
    </w:p>
    <w:p w:rsidR="009C6657" w:rsidRPr="009C6657" w:rsidRDefault="009C6657" w:rsidP="009C6657"/>
    <w:p w:rsidR="009C6657" w:rsidRPr="009C6657" w:rsidRDefault="009C6657" w:rsidP="009C6657">
      <w:r w:rsidRPr="009C6657">
        <w:t>Med beskæftigelsesreformen vil de hidtidige krav og incitamenter ift. klassisk tilre</w:t>
      </w:r>
      <w:r w:rsidRPr="009C6657">
        <w:t>t</w:t>
      </w:r>
      <w:r w:rsidRPr="009C6657">
        <w:t xml:space="preserve">telæggelse af vejledningsindsatsen overfor dagpengemodtagere i vidt omfang være afskaffet, hvilket giver rum for at eksperimentere med formen – herunder varighed, timetal og indhold. Disse muligheder skal udnyttes, og der skal evalueres løbende herpå med henblik på at optimere </w:t>
      </w:r>
      <w:proofErr w:type="spellStart"/>
      <w:r w:rsidRPr="009C6657">
        <w:t>cost-effekterne</w:t>
      </w:r>
      <w:proofErr w:type="spellEnd"/>
      <w:r w:rsidRPr="009C6657">
        <w:t>.</w:t>
      </w:r>
    </w:p>
    <w:p w:rsidR="009C6657" w:rsidRPr="009C6657" w:rsidRDefault="009C6657" w:rsidP="009C6657"/>
    <w:p w:rsidR="009C6657" w:rsidRPr="009C6657" w:rsidRDefault="009C6657" w:rsidP="009C6657">
      <w:r w:rsidRPr="009C6657">
        <w:t>For øvrige målgrupper i beskæftigelsesindsatsen – aktivitetsparate, personer på kanten af arbejdsmarkedet mv. – skal indsatsen holdes indenfor det resterende budget.</w:t>
      </w:r>
    </w:p>
    <w:p w:rsidR="009C6657" w:rsidRPr="009C6657" w:rsidRDefault="009C6657" w:rsidP="009C6657"/>
    <w:p w:rsidR="009C6657" w:rsidRPr="009C6657" w:rsidRDefault="009C6657" w:rsidP="009C6657">
      <w:pPr>
        <w:rPr>
          <w:i/>
          <w:u w:val="single"/>
        </w:rPr>
      </w:pPr>
      <w:r w:rsidRPr="009C6657">
        <w:rPr>
          <w:i/>
          <w:u w:val="single"/>
        </w:rPr>
        <w:t xml:space="preserve">Væsentligste ændringer ift. nuværende indsats </w:t>
      </w:r>
    </w:p>
    <w:p w:rsidR="009C6657" w:rsidRPr="009C6657" w:rsidRDefault="009C6657" w:rsidP="009C6657">
      <w:pPr>
        <w:rPr>
          <w:i/>
          <w:u w:val="single"/>
        </w:rPr>
      </w:pPr>
      <w:r w:rsidRPr="009C6657">
        <w:t>Scenariets væsentligste ændringer ift. nuværende indsats er: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Delvis omlægning af indsatsen med øget fokus på arbejdsmarkedsparate frem for ikke-arbejdsmarkedsparate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Fokus på påbegyndelse af job/uddannelse indenfor en meget kort horisont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Innovation ift. vejledningstilbud til dagpengemodtagere</w:t>
      </w:r>
    </w:p>
    <w:p w:rsidR="009C6657" w:rsidRPr="009C6657" w:rsidRDefault="009C6657" w:rsidP="009C6657"/>
    <w:p w:rsidR="009C6657" w:rsidRPr="009C6657" w:rsidRDefault="009C6657" w:rsidP="009C6657">
      <w:pPr>
        <w:rPr>
          <w:i/>
          <w:u w:val="single"/>
        </w:rPr>
      </w:pPr>
      <w:r w:rsidRPr="009C6657">
        <w:rPr>
          <w:i/>
          <w:u w:val="single"/>
        </w:rPr>
        <w:t>Væsentligste input fra administrativ drøftelse i C-BB</w:t>
      </w:r>
    </w:p>
    <w:p w:rsidR="009C6657" w:rsidRPr="009C6657" w:rsidRDefault="009C6657" w:rsidP="009C6657">
      <w:r w:rsidRPr="009C6657">
        <w:t>Opmærksomhedspunkter ift. at opnå succes med dette scenarie: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Der bør fokuseres på at de nyledige ”vendes døren” og presses/skræmmes væk med udsigten til aktivering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Kvalitet i indsatsen er afgørende for de ledige, som ikke selv kan finde job – herunder mulighederne for uddannelse og anden opkvalificering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Den virksomhedsrettede indsats er afgørende for målgruppen, herunder jo</w:t>
      </w:r>
      <w:r w:rsidRPr="009C6657">
        <w:rPr>
          <w:sz w:val="20"/>
          <w:szCs w:val="20"/>
        </w:rPr>
        <w:t>b</w:t>
      </w:r>
      <w:r w:rsidRPr="009C6657">
        <w:rPr>
          <w:sz w:val="20"/>
          <w:szCs w:val="20"/>
        </w:rPr>
        <w:t>centrets kompetencer ift. at skabe praktikker og egentlig jobformidling</w:t>
      </w:r>
    </w:p>
    <w:p w:rsidR="009C6657" w:rsidRPr="009C6657" w:rsidRDefault="009C6657" w:rsidP="009C6657"/>
    <w:p w:rsidR="009C6657" w:rsidRPr="009C6657" w:rsidRDefault="009C6657" w:rsidP="009C6657">
      <w:r w:rsidRPr="009C6657">
        <w:t>Risici og ulemper ift. dette scenarie: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Det er en kortsigtet strategi, der forsømmer indsatsen overfor de svageste og langtidsledige, som skal hjælpes tilbage i job – det risikerer på sigt at skabe en større gruppe af udsatte borgere, som hænger fast i offentlig fo</w:t>
      </w:r>
      <w:r w:rsidRPr="009C6657">
        <w:rPr>
          <w:sz w:val="20"/>
          <w:szCs w:val="20"/>
        </w:rPr>
        <w:t>r</w:t>
      </w:r>
      <w:r w:rsidRPr="009C6657">
        <w:rPr>
          <w:sz w:val="20"/>
          <w:szCs w:val="20"/>
        </w:rPr>
        <w:t>sørgelse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Risiko for at bruge mange ressourcer på en indsats overfor en gruppe stæ</w:t>
      </w:r>
      <w:r w:rsidRPr="009C6657">
        <w:rPr>
          <w:sz w:val="20"/>
          <w:szCs w:val="20"/>
        </w:rPr>
        <w:t>r</w:t>
      </w:r>
      <w:r w:rsidRPr="009C6657">
        <w:rPr>
          <w:sz w:val="20"/>
          <w:szCs w:val="20"/>
        </w:rPr>
        <w:t>ke ledige, som alligevel ville være kommet tilbage i job uden indsatsen – det står i kontrast til mantraet ”dem, der kan selv, skal selv”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Effekten af indsatsen vil være meget konjunkturafhængig: I perioder gode jobmuligheder kan der opnås gode resultater af indsatsen for de stærkeste, men i lavkonjunktur det vigtigt at tænke mere langsigtet</w:t>
      </w:r>
    </w:p>
    <w:p w:rsidR="009C6657" w:rsidRPr="009C6657" w:rsidRDefault="009C6657" w:rsidP="009C6657">
      <w:pPr>
        <w:spacing w:after="200" w:line="276" w:lineRule="auto"/>
        <w:rPr>
          <w:b/>
        </w:rPr>
      </w:pPr>
      <w:r w:rsidRPr="009C6657">
        <w:rPr>
          <w:b/>
        </w:rPr>
        <w:br w:type="page"/>
      </w:r>
    </w:p>
    <w:p w:rsidR="009C6657" w:rsidRPr="009C6657" w:rsidRDefault="009C6657" w:rsidP="009C6657">
      <w:pPr>
        <w:rPr>
          <w:b/>
        </w:rPr>
      </w:pPr>
      <w:r w:rsidRPr="009C6657">
        <w:rPr>
          <w:b/>
        </w:rPr>
        <w:lastRenderedPageBreak/>
        <w:t>2) Det (lange) seje træk</w:t>
      </w:r>
    </w:p>
    <w:p w:rsidR="009C6657" w:rsidRPr="009C6657" w:rsidRDefault="009C6657" w:rsidP="009C6657">
      <w:pPr>
        <w:rPr>
          <w:b/>
        </w:rPr>
      </w:pPr>
    </w:p>
    <w:p w:rsidR="007F0448" w:rsidRPr="009C6657" w:rsidRDefault="007F0448" w:rsidP="007F0448">
      <w:pPr>
        <w:rPr>
          <w:i/>
          <w:u w:val="single"/>
        </w:rPr>
      </w:pPr>
      <w:r>
        <w:rPr>
          <w:i/>
          <w:u w:val="single"/>
        </w:rPr>
        <w:t>Beskrivelse af scenariet</w:t>
      </w:r>
    </w:p>
    <w:p w:rsidR="009C6657" w:rsidRPr="009C6657" w:rsidRDefault="007F0448" w:rsidP="007F0448">
      <w:r>
        <w:t>Man kunne vælge</w:t>
      </w:r>
      <w:r w:rsidRPr="009C6657">
        <w:t xml:space="preserve">, at </w:t>
      </w:r>
      <w:r w:rsidR="009C6657" w:rsidRPr="009C6657">
        <w:t>den aktive indsats overfor de svageste målgrupper skal prior</w:t>
      </w:r>
      <w:r w:rsidR="009C6657" w:rsidRPr="009C6657">
        <w:t>i</w:t>
      </w:r>
      <w:r w:rsidR="009C6657" w:rsidRPr="009C6657">
        <w:t>teres i beskæftigelsesindsatsen. Dvs. aktivitetsparate, personer i ressourceforløb, ledighedsydelsesmodtagere mv.</w:t>
      </w:r>
    </w:p>
    <w:p w:rsidR="009C6657" w:rsidRPr="009C6657" w:rsidRDefault="009C6657" w:rsidP="009C6657"/>
    <w:p w:rsidR="009C6657" w:rsidRPr="009C6657" w:rsidRDefault="009C6657" w:rsidP="009C6657">
      <w:r w:rsidRPr="009C6657">
        <w:t>Indsats overfor de svageste skal være helhedsorienteret og sikre, at de på sigt kan tage ordinær eller støttet beskæftigelse, alternativt uddannelse. Beskæftigelsesin</w:t>
      </w:r>
      <w:r w:rsidRPr="009C6657">
        <w:t>d</w:t>
      </w:r>
      <w:r w:rsidRPr="009C6657">
        <w:t>satsen og en evt. samtidig social- eller sundhedsfaglig indsats skal understøtte hi</w:t>
      </w:r>
      <w:r w:rsidRPr="009C6657">
        <w:t>n</w:t>
      </w:r>
      <w:r w:rsidRPr="009C6657">
        <w:t>anden og/eller følge i direkte forlængelse hinanden.</w:t>
      </w:r>
    </w:p>
    <w:p w:rsidR="009C6657" w:rsidRPr="009C6657" w:rsidRDefault="009C6657" w:rsidP="009C6657"/>
    <w:p w:rsidR="009C6657" w:rsidRPr="009C6657" w:rsidRDefault="009C6657" w:rsidP="009C6657">
      <w:r w:rsidRPr="009C6657">
        <w:t>For de øvrige målgrupper i beskæftigelsesindsatsen – det vil sige de arbejdsma</w:t>
      </w:r>
      <w:r w:rsidRPr="009C6657">
        <w:t>r</w:t>
      </w:r>
      <w:r w:rsidRPr="009C6657">
        <w:t>kedsparate og kortvarigt sygemeldte – skal indsatsen begrænses til ret og pligt-tilbud.</w:t>
      </w:r>
    </w:p>
    <w:p w:rsidR="009C6657" w:rsidRPr="009C6657" w:rsidRDefault="009C6657" w:rsidP="009C6657"/>
    <w:p w:rsidR="009C6657" w:rsidRPr="009C6657" w:rsidRDefault="009C6657" w:rsidP="009C6657">
      <w:pPr>
        <w:rPr>
          <w:i/>
          <w:u w:val="single"/>
        </w:rPr>
      </w:pPr>
      <w:r w:rsidRPr="009C6657">
        <w:rPr>
          <w:i/>
          <w:u w:val="single"/>
        </w:rPr>
        <w:t xml:space="preserve">Væsentligste ændringer ift. nuværende indsats </w:t>
      </w:r>
    </w:p>
    <w:p w:rsidR="009C6657" w:rsidRPr="009C6657" w:rsidRDefault="009C6657" w:rsidP="009C6657">
      <w:pPr>
        <w:rPr>
          <w:i/>
          <w:u w:val="single"/>
        </w:rPr>
      </w:pPr>
      <w:r w:rsidRPr="009C6657">
        <w:t>Scenariets væsentligste ændringer ift. nuværende indsats er: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Markant intensivering af beskæftigelsesindsatsen overfor de svageste må</w:t>
      </w:r>
      <w:r w:rsidRPr="009C6657">
        <w:rPr>
          <w:sz w:val="20"/>
          <w:szCs w:val="20"/>
        </w:rPr>
        <w:t>l</w:t>
      </w:r>
      <w:r w:rsidRPr="009C6657">
        <w:rPr>
          <w:sz w:val="20"/>
          <w:szCs w:val="20"/>
        </w:rPr>
        <w:t>grupper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Øget tværfaglige/tværsektoriel koordination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 xml:space="preserve">Indsatsen overfor de stærkeste målgrupper begrænses til </w:t>
      </w:r>
      <w:proofErr w:type="spellStart"/>
      <w:r w:rsidRPr="009C6657">
        <w:rPr>
          <w:sz w:val="20"/>
          <w:szCs w:val="20"/>
        </w:rPr>
        <w:t>ret-og-pligt</w:t>
      </w:r>
      <w:proofErr w:type="spellEnd"/>
    </w:p>
    <w:p w:rsidR="009C6657" w:rsidRPr="009C6657" w:rsidRDefault="009C6657" w:rsidP="009C6657">
      <w:pPr>
        <w:rPr>
          <w:i/>
          <w:u w:val="single"/>
        </w:rPr>
      </w:pPr>
    </w:p>
    <w:p w:rsidR="009C6657" w:rsidRPr="009C6657" w:rsidRDefault="009C6657" w:rsidP="009C6657">
      <w:pPr>
        <w:rPr>
          <w:i/>
          <w:u w:val="single"/>
        </w:rPr>
      </w:pPr>
      <w:r w:rsidRPr="009C6657">
        <w:rPr>
          <w:i/>
          <w:u w:val="single"/>
        </w:rPr>
        <w:t>Væsentligste input fra administrativ drøftelse i C-BB</w:t>
      </w:r>
    </w:p>
    <w:p w:rsidR="009C6657" w:rsidRPr="009C6657" w:rsidRDefault="009C6657" w:rsidP="009C6657">
      <w:r w:rsidRPr="009C6657">
        <w:t>Opmærksomhedspunkter ift. at opnå succes med dette scenarie: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Oplagt at fokusere indsatsen på de udsatte unge – de har mange gode år tilbage, hvis det lykkes at komme i gang med job og uddannelse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Oplagt at fokusere på udsatte børneforældre – de vil være bedre rollemode</w:t>
      </w:r>
      <w:r w:rsidRPr="009C6657">
        <w:rPr>
          <w:sz w:val="20"/>
          <w:szCs w:val="20"/>
        </w:rPr>
        <w:t>l</w:t>
      </w:r>
      <w:r w:rsidRPr="009C6657">
        <w:rPr>
          <w:sz w:val="20"/>
          <w:szCs w:val="20"/>
        </w:rPr>
        <w:t>ler, hvis de kommer i job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Vigtigt at fokusere på at udsatte grupper opnår varig tilknytning til arbejd</w:t>
      </w:r>
      <w:r w:rsidRPr="009C6657">
        <w:rPr>
          <w:sz w:val="20"/>
          <w:szCs w:val="20"/>
        </w:rPr>
        <w:t>s</w:t>
      </w:r>
      <w:r w:rsidRPr="009C6657">
        <w:rPr>
          <w:sz w:val="20"/>
          <w:szCs w:val="20"/>
        </w:rPr>
        <w:t>markedet – gruppen har stor risiko for tilbagefald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Gode erfaringer med intensivt kontaktforløb og brug af sanktionsmuligheder overfor målgruppen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Grundig indledende afklaring er en forudsætning for succesfuld indsats, i indsatsen skal der være fokus på kontinuerlige fremskridt og progression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I nogle tilfælde bør afklaringen også føre til førtidspensionering – især i 2015, hvor der er et attraktivt ”refusionsvindue” i forhold til førtidspension</w:t>
      </w:r>
      <w:r w:rsidRPr="009C6657">
        <w:rPr>
          <w:sz w:val="20"/>
          <w:szCs w:val="20"/>
        </w:rPr>
        <w:t>e</w:t>
      </w:r>
      <w:r w:rsidRPr="009C6657">
        <w:rPr>
          <w:sz w:val="20"/>
          <w:szCs w:val="20"/>
        </w:rPr>
        <w:t xml:space="preserve">ring 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Den tværfaglige/tværsektorielle koordination og samarbejde er afgørende, især samarbejdet og koordinationen med C-SS</w:t>
      </w:r>
    </w:p>
    <w:p w:rsidR="009C6657" w:rsidRPr="009C6657" w:rsidRDefault="009C6657" w:rsidP="009C6657"/>
    <w:p w:rsidR="009C6657" w:rsidRPr="009C6657" w:rsidRDefault="009C6657" w:rsidP="009C6657">
      <w:r w:rsidRPr="009C6657">
        <w:t>Risici og ulemper ift. dette scenarie: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Den helhedsorienterede indsats er omkostningsfuld og en markant intens</w:t>
      </w:r>
      <w:r w:rsidRPr="009C6657">
        <w:rPr>
          <w:sz w:val="20"/>
          <w:szCs w:val="20"/>
        </w:rPr>
        <w:t>i</w:t>
      </w:r>
      <w:r w:rsidRPr="009C6657">
        <w:rPr>
          <w:sz w:val="20"/>
          <w:szCs w:val="20"/>
        </w:rPr>
        <w:t>vering heraf kan næppe holdes indenfor det nuværende budget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 xml:space="preserve">Risiko for at manglende forebyggelse af social deroute blandt personer i mellemgruppen af langtidsledige uden store sociale problemer 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Risiko for utilstrækkelig opfølgning overfor de stærke målgrupper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spacing w:after="200" w:line="276" w:lineRule="auto"/>
        <w:rPr>
          <w:b/>
          <w:sz w:val="20"/>
          <w:szCs w:val="20"/>
        </w:rPr>
      </w:pPr>
      <w:r w:rsidRPr="009C6657">
        <w:rPr>
          <w:sz w:val="20"/>
          <w:szCs w:val="20"/>
        </w:rPr>
        <w:t>Risiko for at et øget fokus på en social- og sundhedsorienteret indsats vil r</w:t>
      </w:r>
      <w:r w:rsidRPr="009C6657">
        <w:rPr>
          <w:sz w:val="20"/>
          <w:szCs w:val="20"/>
        </w:rPr>
        <w:t>e</w:t>
      </w:r>
      <w:r w:rsidRPr="009C6657">
        <w:rPr>
          <w:sz w:val="20"/>
          <w:szCs w:val="20"/>
        </w:rPr>
        <w:t xml:space="preserve">ducere det klassiske </w:t>
      </w:r>
      <w:proofErr w:type="spellStart"/>
      <w:r w:rsidRPr="009C6657">
        <w:rPr>
          <w:sz w:val="20"/>
          <w:szCs w:val="20"/>
        </w:rPr>
        <w:t>jobfokus</w:t>
      </w:r>
      <w:proofErr w:type="spellEnd"/>
      <w:r w:rsidRPr="009C6657">
        <w:rPr>
          <w:sz w:val="20"/>
          <w:szCs w:val="20"/>
        </w:rPr>
        <w:t xml:space="preserve"> i beskæftigelsesindsatsen som helhed</w:t>
      </w:r>
      <w:r w:rsidRPr="009C6657">
        <w:rPr>
          <w:b/>
          <w:sz w:val="20"/>
          <w:szCs w:val="20"/>
        </w:rPr>
        <w:br w:type="page"/>
      </w:r>
    </w:p>
    <w:p w:rsidR="009C6657" w:rsidRPr="009C6657" w:rsidRDefault="009C6657" w:rsidP="009C6657">
      <w:pPr>
        <w:rPr>
          <w:b/>
        </w:rPr>
      </w:pPr>
      <w:r w:rsidRPr="009C6657">
        <w:rPr>
          <w:b/>
        </w:rPr>
        <w:lastRenderedPageBreak/>
        <w:t>3) Minimums-scenariet</w:t>
      </w:r>
    </w:p>
    <w:p w:rsidR="009C6657" w:rsidRPr="009C6657" w:rsidRDefault="009C6657" w:rsidP="009C6657">
      <w:pPr>
        <w:rPr>
          <w:b/>
        </w:rPr>
      </w:pPr>
    </w:p>
    <w:p w:rsidR="007F0448" w:rsidRPr="009C6657" w:rsidRDefault="007F0448" w:rsidP="007F0448">
      <w:pPr>
        <w:rPr>
          <w:i/>
          <w:u w:val="single"/>
        </w:rPr>
      </w:pPr>
      <w:r>
        <w:rPr>
          <w:i/>
          <w:u w:val="single"/>
        </w:rPr>
        <w:t>Beskrivelse af scenariet</w:t>
      </w:r>
    </w:p>
    <w:p w:rsidR="009C6657" w:rsidRPr="009C6657" w:rsidRDefault="007F0448" w:rsidP="007F0448">
      <w:r>
        <w:t>Man kunne vælge</w:t>
      </w:r>
      <w:r w:rsidRPr="009C6657">
        <w:t xml:space="preserve">, at </w:t>
      </w:r>
      <w:r w:rsidR="009C6657" w:rsidRPr="009C6657">
        <w:t>aktiveringsindsatsen hovedregel begrænses til ”</w:t>
      </w:r>
      <w:proofErr w:type="spellStart"/>
      <w:r w:rsidR="009C6657" w:rsidRPr="009C6657">
        <w:t>ret-og-pligt</w:t>
      </w:r>
      <w:proofErr w:type="spellEnd"/>
      <w:r w:rsidR="009C6657" w:rsidRPr="009C6657">
        <w:t>”- indsatsen og at udgifterne til vejledningsaktivering og mentor holdes på et min</w:t>
      </w:r>
      <w:r w:rsidR="009C6657" w:rsidRPr="009C6657">
        <w:t>i</w:t>
      </w:r>
      <w:r w:rsidR="009C6657" w:rsidRPr="009C6657">
        <w:t xml:space="preserve">mum. Det kan bl.a. sikres ved omfattende brug af virksomhedspraktikker frem for vejledning og mentorstøtte. </w:t>
      </w:r>
    </w:p>
    <w:p w:rsidR="009C6657" w:rsidRPr="009C6657" w:rsidRDefault="009C6657" w:rsidP="009C6657"/>
    <w:p w:rsidR="009C6657" w:rsidRPr="009C6657" w:rsidRDefault="009C6657" w:rsidP="009C6657">
      <w:r w:rsidRPr="009C6657">
        <w:t xml:space="preserve">I tilrettelæggelsen af </w:t>
      </w:r>
      <w:proofErr w:type="spellStart"/>
      <w:r w:rsidRPr="009C6657">
        <w:t>ret-og-pligt</w:t>
      </w:r>
      <w:proofErr w:type="spellEnd"/>
      <w:r w:rsidRPr="009C6657">
        <w:t xml:space="preserve"> indsatsen skal det således prioriteres at:</w:t>
      </w:r>
    </w:p>
    <w:p w:rsidR="009C6657" w:rsidRPr="009C6657" w:rsidRDefault="009C6657" w:rsidP="009C6657">
      <w:pPr>
        <w:pStyle w:val="Listeafsnit"/>
        <w:numPr>
          <w:ilvl w:val="0"/>
          <w:numId w:val="30"/>
        </w:numPr>
        <w:rPr>
          <w:sz w:val="20"/>
          <w:szCs w:val="20"/>
        </w:rPr>
      </w:pPr>
      <w:r w:rsidRPr="009C6657">
        <w:rPr>
          <w:sz w:val="20"/>
          <w:szCs w:val="20"/>
        </w:rPr>
        <w:t>Der sikres fuld ressourceudnyttelse vha. overvågning af belægning på egne og indkøbte tilbud, samt evt. via central visitationsenhed</w:t>
      </w:r>
    </w:p>
    <w:p w:rsidR="009C6657" w:rsidRPr="009C6657" w:rsidRDefault="009C6657" w:rsidP="009C6657">
      <w:pPr>
        <w:pStyle w:val="Listeafsnit"/>
        <w:numPr>
          <w:ilvl w:val="0"/>
          <w:numId w:val="30"/>
        </w:numPr>
        <w:rPr>
          <w:sz w:val="20"/>
          <w:szCs w:val="20"/>
        </w:rPr>
      </w:pPr>
      <w:r w:rsidRPr="009C6657">
        <w:rPr>
          <w:sz w:val="20"/>
          <w:szCs w:val="20"/>
        </w:rPr>
        <w:t>Der tilstræbes simpel tilbudsvifte og tilbudssammensætning, hvormed der opnås overskuelighed i tilbudsgivningen og lave enhedsomkostninger på ti</w:t>
      </w:r>
      <w:r w:rsidRPr="009C6657">
        <w:rPr>
          <w:sz w:val="20"/>
          <w:szCs w:val="20"/>
        </w:rPr>
        <w:t>l</w:t>
      </w:r>
      <w:r w:rsidRPr="009C6657">
        <w:rPr>
          <w:sz w:val="20"/>
          <w:szCs w:val="20"/>
        </w:rPr>
        <w:t>bud</w:t>
      </w:r>
    </w:p>
    <w:p w:rsidR="009C6657" w:rsidRPr="009C6657" w:rsidRDefault="009C6657" w:rsidP="009C6657">
      <w:pPr>
        <w:pStyle w:val="Listeafsnit"/>
        <w:numPr>
          <w:ilvl w:val="0"/>
          <w:numId w:val="30"/>
        </w:numPr>
        <w:rPr>
          <w:sz w:val="20"/>
          <w:szCs w:val="20"/>
        </w:rPr>
      </w:pPr>
      <w:r w:rsidRPr="009C6657">
        <w:rPr>
          <w:sz w:val="20"/>
          <w:szCs w:val="20"/>
        </w:rPr>
        <w:t>Indsatsen får mere karakter af standardforløb frem for individuelt tilrettelagt indsats</w:t>
      </w:r>
    </w:p>
    <w:p w:rsidR="009C6657" w:rsidRPr="009C6657" w:rsidRDefault="009C6657" w:rsidP="009C6657">
      <w:pPr>
        <w:pStyle w:val="Listeafsnit"/>
        <w:numPr>
          <w:ilvl w:val="0"/>
          <w:numId w:val="30"/>
        </w:numPr>
        <w:rPr>
          <w:sz w:val="20"/>
          <w:szCs w:val="20"/>
        </w:rPr>
      </w:pPr>
      <w:r w:rsidRPr="009C6657">
        <w:rPr>
          <w:sz w:val="20"/>
          <w:szCs w:val="20"/>
        </w:rPr>
        <w:t xml:space="preserve">Aktiveringstilbud udvælges på baggrund af bedst forventede </w:t>
      </w:r>
      <w:proofErr w:type="spellStart"/>
      <w:r w:rsidRPr="009C6657">
        <w:rPr>
          <w:sz w:val="20"/>
          <w:szCs w:val="20"/>
        </w:rPr>
        <w:t>cost-effekter</w:t>
      </w:r>
      <w:proofErr w:type="spellEnd"/>
      <w:r w:rsidRPr="009C6657">
        <w:rPr>
          <w:sz w:val="20"/>
          <w:szCs w:val="20"/>
        </w:rPr>
        <w:t xml:space="preserve"> og samlet bidrag til kommunens økonomi</w:t>
      </w:r>
    </w:p>
    <w:p w:rsidR="009C6657" w:rsidRPr="009C6657" w:rsidRDefault="009C6657" w:rsidP="009C6657"/>
    <w:p w:rsidR="009C6657" w:rsidRPr="009C6657" w:rsidRDefault="009C6657" w:rsidP="009C6657">
      <w:r w:rsidRPr="009C6657">
        <w:t xml:space="preserve">Der afsættes to puljer til mentor og vejledningsaktivering udover </w:t>
      </w:r>
      <w:proofErr w:type="spellStart"/>
      <w:r w:rsidRPr="009C6657">
        <w:t>ret-og-pligt</w:t>
      </w:r>
      <w:proofErr w:type="spellEnd"/>
      <w:r w:rsidRPr="009C6657">
        <w:t xml:space="preserve"> in</w:t>
      </w:r>
      <w:r w:rsidRPr="009C6657">
        <w:t>d</w:t>
      </w:r>
      <w:r w:rsidRPr="009C6657">
        <w:t>satsen – en pulje til revalidering og den helhedsorienterede indsats for de svageste (</w:t>
      </w:r>
      <w:proofErr w:type="spellStart"/>
      <w:r w:rsidRPr="009C6657">
        <w:t>jobafklarings-/ressourceforløb</w:t>
      </w:r>
      <w:proofErr w:type="spellEnd"/>
      <w:r w:rsidRPr="009C6657">
        <w:t xml:space="preserve"> og aktivitetsparate) og en mindre pulje til øvrige a</w:t>
      </w:r>
      <w:r w:rsidRPr="009C6657">
        <w:t>k</w:t>
      </w:r>
      <w:r w:rsidRPr="009C6657">
        <w:t xml:space="preserve">tive tilbud, herunder tilbud </w:t>
      </w:r>
      <w:proofErr w:type="spellStart"/>
      <w:r w:rsidRPr="009C6657">
        <w:t>mhp</w:t>
      </w:r>
      <w:proofErr w:type="spellEnd"/>
      <w:r w:rsidRPr="009C6657">
        <w:t>. afprøvning af rådighedsforpligtigelse.</w:t>
      </w:r>
    </w:p>
    <w:p w:rsidR="009C6657" w:rsidRPr="009C6657" w:rsidRDefault="009C6657" w:rsidP="009C6657"/>
    <w:p w:rsidR="009C6657" w:rsidRPr="009C6657" w:rsidRDefault="009C6657" w:rsidP="009C6657">
      <w:pPr>
        <w:rPr>
          <w:i/>
          <w:u w:val="single"/>
        </w:rPr>
      </w:pPr>
      <w:r w:rsidRPr="009C6657">
        <w:rPr>
          <w:i/>
          <w:u w:val="single"/>
        </w:rPr>
        <w:t xml:space="preserve">Væsentligste ændringer ift. nuværende indsats </w:t>
      </w:r>
    </w:p>
    <w:p w:rsidR="009C6657" w:rsidRPr="009C6657" w:rsidRDefault="009C6657" w:rsidP="009C6657">
      <w:r w:rsidRPr="009C6657">
        <w:t>Minimums-scenariets væsentligste ændringer ift. nuværende indsats er: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Målretning af vejlednings- og mentorindsatsen (</w:t>
      </w:r>
      <w:proofErr w:type="spellStart"/>
      <w:r w:rsidRPr="009C6657">
        <w:rPr>
          <w:sz w:val="20"/>
          <w:szCs w:val="20"/>
        </w:rPr>
        <w:t>ret-og-pligt</w:t>
      </w:r>
      <w:proofErr w:type="spellEnd"/>
      <w:r w:rsidRPr="009C6657">
        <w:rPr>
          <w:sz w:val="20"/>
          <w:szCs w:val="20"/>
        </w:rPr>
        <w:t xml:space="preserve"> tilbud, fokus på </w:t>
      </w:r>
      <w:proofErr w:type="spellStart"/>
      <w:r w:rsidRPr="009C6657">
        <w:rPr>
          <w:sz w:val="20"/>
          <w:szCs w:val="20"/>
        </w:rPr>
        <w:t>cost-effekter</w:t>
      </w:r>
      <w:proofErr w:type="spellEnd"/>
      <w:r w:rsidRPr="009C6657">
        <w:rPr>
          <w:sz w:val="20"/>
          <w:szCs w:val="20"/>
        </w:rPr>
        <w:t xml:space="preserve"> og puljestyring prioriterede indsatser)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Lavere enhedsomkostninger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Simplificering af tilbudsvifte og tilbudsgivning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 xml:space="preserve">Evt. </w:t>
      </w:r>
      <w:proofErr w:type="gramStart"/>
      <w:r w:rsidRPr="009C6657">
        <w:rPr>
          <w:sz w:val="20"/>
          <w:szCs w:val="20"/>
        </w:rPr>
        <w:t>centralt</w:t>
      </w:r>
      <w:proofErr w:type="gramEnd"/>
      <w:r w:rsidRPr="009C6657">
        <w:rPr>
          <w:sz w:val="20"/>
          <w:szCs w:val="20"/>
        </w:rPr>
        <w:t xml:space="preserve"> visitationsenhed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Forventning om markant besparelse på beskæftigelsesindsatsen ift. i dag</w:t>
      </w:r>
    </w:p>
    <w:p w:rsidR="009C6657" w:rsidRPr="009C6657" w:rsidRDefault="009C6657" w:rsidP="009C6657"/>
    <w:p w:rsidR="009C6657" w:rsidRPr="009C6657" w:rsidRDefault="009C6657" w:rsidP="009C6657">
      <w:pPr>
        <w:rPr>
          <w:i/>
          <w:u w:val="single"/>
        </w:rPr>
      </w:pPr>
      <w:r w:rsidRPr="009C6657">
        <w:rPr>
          <w:i/>
          <w:u w:val="single"/>
        </w:rPr>
        <w:t>Væsentligste input fra administrativ drøftelse i C-BB</w:t>
      </w:r>
    </w:p>
    <w:p w:rsidR="009C6657" w:rsidRPr="009C6657" w:rsidRDefault="009C6657" w:rsidP="009C6657">
      <w:r w:rsidRPr="009C6657">
        <w:t>Opmærksomhedspunkter ift. at opnå succes med dette scenarie: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Oplagt at anvende kortere tilbud frem for færre tilbud, da skræmmeeffekten af udsigten til aktivering ikke afhænger af aktiveringstilbuddets længde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 xml:space="preserve">Vigtigt fortsat at aktivere </w:t>
      </w:r>
      <w:proofErr w:type="spellStart"/>
      <w:r w:rsidRPr="009C6657">
        <w:rPr>
          <w:sz w:val="20"/>
          <w:szCs w:val="20"/>
        </w:rPr>
        <w:t>mhp</w:t>
      </w:r>
      <w:proofErr w:type="spellEnd"/>
      <w:r w:rsidRPr="009C6657">
        <w:rPr>
          <w:sz w:val="20"/>
          <w:szCs w:val="20"/>
        </w:rPr>
        <w:t>. afprøvning af rådighedsforpligtigelsen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 xml:space="preserve">Vigtigt at der fortsat er mulighed for </w:t>
      </w:r>
      <w:proofErr w:type="spellStart"/>
      <w:r w:rsidRPr="009C6657">
        <w:rPr>
          <w:sz w:val="20"/>
          <w:szCs w:val="20"/>
        </w:rPr>
        <w:t>realkompenteceafklaring</w:t>
      </w:r>
      <w:proofErr w:type="spellEnd"/>
      <w:r w:rsidRPr="009C6657">
        <w:rPr>
          <w:sz w:val="20"/>
          <w:szCs w:val="20"/>
        </w:rPr>
        <w:t xml:space="preserve"> og målrettet opkvalificering (AMU-kurser)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Standardaktivering frem for individuel tilbudsgivning kræver forventnings-afstemning med borgeren for at sikre at aktiveringen virker meningsfuld</w:t>
      </w:r>
    </w:p>
    <w:p w:rsidR="009C6657" w:rsidRPr="009C6657" w:rsidRDefault="009C6657" w:rsidP="009C6657"/>
    <w:p w:rsidR="009C6657" w:rsidRPr="009C6657" w:rsidRDefault="009C6657" w:rsidP="009C6657">
      <w:r w:rsidRPr="009C6657">
        <w:t>Risici og ulemper ift. dette scenarie: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Risiko for at øgede forsørgelsesudgifter overstiger besparelser på indsatsen pga. stigende ledighed og fastholdelse af de svageste grupper i forsørgelse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 xml:space="preserve">Risiko for at besparelsen ufrivilligt primært vil ramme indsatsen overfor de svageste, den helhedsorienterede indsats er omkostningsfuld og kravene til </w:t>
      </w:r>
      <w:proofErr w:type="spellStart"/>
      <w:r w:rsidRPr="009C6657">
        <w:rPr>
          <w:sz w:val="20"/>
          <w:szCs w:val="20"/>
        </w:rPr>
        <w:t>ret-og-pligt</w:t>
      </w:r>
      <w:proofErr w:type="spellEnd"/>
      <w:r w:rsidRPr="009C6657">
        <w:rPr>
          <w:sz w:val="20"/>
          <w:szCs w:val="20"/>
        </w:rPr>
        <w:t xml:space="preserve"> indsatsen er mindst for de svageste grupper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spacing w:after="200" w:line="276" w:lineRule="auto"/>
        <w:rPr>
          <w:i/>
          <w:sz w:val="20"/>
          <w:szCs w:val="20"/>
        </w:rPr>
      </w:pPr>
      <w:r w:rsidRPr="009C6657">
        <w:rPr>
          <w:sz w:val="20"/>
          <w:szCs w:val="20"/>
        </w:rPr>
        <w:t xml:space="preserve">Risiko for unødvendig administration og dobbeltarbejde </w:t>
      </w:r>
      <w:proofErr w:type="spellStart"/>
      <w:r w:rsidRPr="009C6657">
        <w:rPr>
          <w:sz w:val="20"/>
          <w:szCs w:val="20"/>
        </w:rPr>
        <w:t>ifm</w:t>
      </w:r>
      <w:proofErr w:type="spellEnd"/>
      <w:r w:rsidRPr="009C6657">
        <w:rPr>
          <w:sz w:val="20"/>
          <w:szCs w:val="20"/>
        </w:rPr>
        <w:t>. puljefinansi</w:t>
      </w:r>
      <w:r w:rsidRPr="009C6657">
        <w:rPr>
          <w:sz w:val="20"/>
          <w:szCs w:val="20"/>
        </w:rPr>
        <w:t>e</w:t>
      </w:r>
      <w:r w:rsidRPr="009C6657">
        <w:rPr>
          <w:sz w:val="20"/>
          <w:szCs w:val="20"/>
        </w:rPr>
        <w:t>ring af aktiveringstilbud</w:t>
      </w:r>
      <w:r w:rsidRPr="009C6657">
        <w:rPr>
          <w:i/>
          <w:sz w:val="20"/>
          <w:szCs w:val="20"/>
        </w:rPr>
        <w:br w:type="page"/>
      </w:r>
    </w:p>
    <w:p w:rsidR="009C6657" w:rsidRPr="009C6657" w:rsidRDefault="009C6657" w:rsidP="009C6657">
      <w:pPr>
        <w:rPr>
          <w:b/>
        </w:rPr>
      </w:pPr>
      <w:r w:rsidRPr="009C6657">
        <w:rPr>
          <w:b/>
        </w:rPr>
        <w:lastRenderedPageBreak/>
        <w:t xml:space="preserve">4) </w:t>
      </w:r>
      <w:r w:rsidR="00D137B1">
        <w:rPr>
          <w:b/>
        </w:rPr>
        <w:t>Praktik &amp; Mentor</w:t>
      </w:r>
      <w:r w:rsidRPr="009C6657">
        <w:rPr>
          <w:b/>
        </w:rPr>
        <w:t>-scenariet</w:t>
      </w:r>
    </w:p>
    <w:p w:rsidR="009C6657" w:rsidRPr="009C6657" w:rsidRDefault="009C6657" w:rsidP="009C6657">
      <w:pPr>
        <w:rPr>
          <w:i/>
          <w:u w:val="single"/>
        </w:rPr>
      </w:pPr>
    </w:p>
    <w:p w:rsidR="007F0448" w:rsidRPr="009C6657" w:rsidRDefault="007F0448" w:rsidP="007F0448">
      <w:pPr>
        <w:rPr>
          <w:i/>
          <w:u w:val="single"/>
        </w:rPr>
      </w:pPr>
      <w:r>
        <w:rPr>
          <w:i/>
          <w:u w:val="single"/>
        </w:rPr>
        <w:t>Beskrivelse af scenariet</w:t>
      </w:r>
    </w:p>
    <w:p w:rsidR="009C6657" w:rsidRPr="009C6657" w:rsidRDefault="007F0448" w:rsidP="007F0448">
      <w:r>
        <w:t xml:space="preserve">Man kunne </w:t>
      </w:r>
      <w:r w:rsidRPr="009C6657">
        <w:t>med inspiration fra Herlev</w:t>
      </w:r>
      <w:r>
        <w:t xml:space="preserve"> vælge</w:t>
      </w:r>
      <w:r w:rsidRPr="009C6657">
        <w:t>, at</w:t>
      </w:r>
      <w:r w:rsidR="009C6657" w:rsidRPr="009C6657">
        <w:t xml:space="preserve"> den aktive indsats i videst muligt omfang skal bestå i mentorstøtte kombineret med virksomhedsaktivering, bortset fra revalidering og den helhedsorienterede indsats overfor de allersvageste (</w:t>
      </w:r>
      <w:proofErr w:type="spellStart"/>
      <w:r w:rsidR="009C6657" w:rsidRPr="009C6657">
        <w:t>joba</w:t>
      </w:r>
      <w:r w:rsidR="009C6657" w:rsidRPr="009C6657">
        <w:t>f</w:t>
      </w:r>
      <w:r w:rsidR="009C6657" w:rsidRPr="009C6657">
        <w:t>klarings-/ressourceforløb</w:t>
      </w:r>
      <w:proofErr w:type="spellEnd"/>
      <w:r w:rsidR="009C6657" w:rsidRPr="009C6657">
        <w:t xml:space="preserve"> og de svageste aktivitetsparate). </w:t>
      </w:r>
    </w:p>
    <w:p w:rsidR="009C6657" w:rsidRPr="009C6657" w:rsidRDefault="009C6657" w:rsidP="009C6657"/>
    <w:p w:rsidR="009C6657" w:rsidRPr="009C6657" w:rsidRDefault="009C6657" w:rsidP="009C6657">
      <w:r w:rsidRPr="009C6657">
        <w:t>Mentorstøtten skal sigte på at forberede borgerne på job, uddannelse eller vir</w:t>
      </w:r>
      <w:r w:rsidRPr="009C6657">
        <w:t>k</w:t>
      </w:r>
      <w:r w:rsidRPr="009C6657">
        <w:t xml:space="preserve">somhedsaktivering samt støtte under virksomhedsaktivering og påbegyndelse af job/uddannelse. </w:t>
      </w:r>
    </w:p>
    <w:p w:rsidR="009C6657" w:rsidRPr="009C6657" w:rsidRDefault="009C6657" w:rsidP="009C6657"/>
    <w:p w:rsidR="009C6657" w:rsidRPr="009C6657" w:rsidRDefault="009C6657" w:rsidP="009C6657">
      <w:r w:rsidRPr="009C6657">
        <w:t>For de ikke-arbejdsmarkedsparate grupper skal virksomhedsaktivering og mento</w:t>
      </w:r>
      <w:r w:rsidRPr="009C6657">
        <w:t>r</w:t>
      </w:r>
      <w:r w:rsidRPr="009C6657">
        <w:t xml:space="preserve">støtte gå </w:t>
      </w:r>
      <w:proofErr w:type="spellStart"/>
      <w:r w:rsidRPr="009C6657">
        <w:t>hånd-i-hånd</w:t>
      </w:r>
      <w:proofErr w:type="spellEnd"/>
      <w:r w:rsidRPr="009C6657">
        <w:t xml:space="preserve"> i forbindelse med: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Praktik i virksomhedscentre, hvor ansatte på virksomheden er mentorer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Kombinerede forløb, hvor Jobcentret, Kompetencecentret eller eksterne a</w:t>
      </w:r>
      <w:r w:rsidRPr="009C6657">
        <w:rPr>
          <w:sz w:val="20"/>
          <w:szCs w:val="20"/>
        </w:rPr>
        <w:t>k</w:t>
      </w:r>
      <w:r w:rsidRPr="009C6657">
        <w:rPr>
          <w:sz w:val="20"/>
          <w:szCs w:val="20"/>
        </w:rPr>
        <w:t>tører varetager mentorrollen og udplacering i praktik/løntilskud</w:t>
      </w:r>
    </w:p>
    <w:p w:rsidR="009C6657" w:rsidRPr="009C6657" w:rsidRDefault="009C6657" w:rsidP="009C6657"/>
    <w:p w:rsidR="009C6657" w:rsidRPr="009C6657" w:rsidRDefault="009C6657" w:rsidP="009C6657">
      <w:r w:rsidRPr="009C6657">
        <w:t>De arbejdsmarkedsparate grupper skal kun tilbydes mentor i det omfang dette skønnes nødvendigt i forbindelse med opstart/fastholdelse i virksomhedspraktik, job eller uddannelse. Alternativt kan tilbydes personlig jobformidler, som hjælper med jobsøgning.</w:t>
      </w:r>
    </w:p>
    <w:p w:rsidR="009C6657" w:rsidRPr="009C6657" w:rsidRDefault="009C6657" w:rsidP="009C6657">
      <w:pPr>
        <w:rPr>
          <w:i/>
        </w:rPr>
      </w:pPr>
    </w:p>
    <w:p w:rsidR="009C6657" w:rsidRPr="009C6657" w:rsidRDefault="009C6657" w:rsidP="009C6657">
      <w:pPr>
        <w:rPr>
          <w:i/>
          <w:u w:val="single"/>
        </w:rPr>
      </w:pPr>
      <w:r w:rsidRPr="009C6657">
        <w:rPr>
          <w:i/>
          <w:u w:val="single"/>
        </w:rPr>
        <w:t xml:space="preserve">Væsentligste ændringer ift. nuværende indsats </w:t>
      </w:r>
    </w:p>
    <w:p w:rsidR="009C6657" w:rsidRPr="00D137B1" w:rsidRDefault="00D137B1" w:rsidP="009C6657">
      <w:r w:rsidRPr="00D137B1">
        <w:t>Praktik &amp; Mentor</w:t>
      </w:r>
      <w:r w:rsidR="009C6657" w:rsidRPr="00D137B1">
        <w:t>-scenariets væsentligste ændringer ift. nuværende indsats er: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Omlægning af indsatsen fra vejledning til mentor og virksomhedsaktivering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Usikkerhed i forhold til mulighederne for implementering, idet tilgængeli</w:t>
      </w:r>
      <w:r w:rsidRPr="009C6657">
        <w:rPr>
          <w:sz w:val="20"/>
          <w:szCs w:val="20"/>
        </w:rPr>
        <w:t>g</w:t>
      </w:r>
      <w:r w:rsidRPr="009C6657">
        <w:rPr>
          <w:sz w:val="20"/>
          <w:szCs w:val="20"/>
        </w:rPr>
        <w:t>heden af virksomhedspraktikpladser bl.a. beror virksomhedernes velvilje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Sagsbehandlerne får færre valgmuligheder i tilbudsgivningen</w:t>
      </w:r>
    </w:p>
    <w:p w:rsidR="009C6657" w:rsidRPr="009C6657" w:rsidRDefault="009C6657" w:rsidP="009C6657">
      <w:pPr>
        <w:rPr>
          <w:i/>
          <w:u w:val="single"/>
        </w:rPr>
      </w:pPr>
    </w:p>
    <w:p w:rsidR="009C6657" w:rsidRPr="009C6657" w:rsidRDefault="009C6657" w:rsidP="009C6657">
      <w:pPr>
        <w:rPr>
          <w:i/>
          <w:u w:val="single"/>
        </w:rPr>
      </w:pPr>
      <w:r w:rsidRPr="009C6657">
        <w:rPr>
          <w:i/>
          <w:u w:val="single"/>
        </w:rPr>
        <w:t>Væsentligste input fra administrativ drøftelse i C-BB</w:t>
      </w:r>
    </w:p>
    <w:p w:rsidR="009C6657" w:rsidRPr="009C6657" w:rsidRDefault="009C6657" w:rsidP="009C6657">
      <w:r w:rsidRPr="009C6657">
        <w:t>Opmærksomhedspunkter ift. at opnå succes med dette scenarie: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Kapacitetsbehov ift. mentorer og virksomhedspraktikker skal afklares gru</w:t>
      </w:r>
      <w:r w:rsidRPr="009C6657">
        <w:rPr>
          <w:sz w:val="20"/>
          <w:szCs w:val="20"/>
        </w:rPr>
        <w:t>n</w:t>
      </w:r>
      <w:r w:rsidRPr="009C6657">
        <w:rPr>
          <w:sz w:val="20"/>
          <w:szCs w:val="20"/>
        </w:rPr>
        <w:t>digt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 xml:space="preserve">Kvalitetskrav og priser mht. mentorer skal afklares grundigt – særligt behov for at mentorer kan </w:t>
      </w:r>
      <w:proofErr w:type="spellStart"/>
      <w:r w:rsidRPr="009C6657">
        <w:rPr>
          <w:sz w:val="20"/>
          <w:szCs w:val="20"/>
        </w:rPr>
        <w:t>jobcoache</w:t>
      </w:r>
      <w:proofErr w:type="spellEnd"/>
      <w:r w:rsidRPr="009C6657">
        <w:rPr>
          <w:sz w:val="20"/>
          <w:szCs w:val="20"/>
        </w:rPr>
        <w:t>, hvis jobsøgningskurser afskaffes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Fortsat behov rådighedsafprøvende tilbud og brobygningsforløb til uddanne</w:t>
      </w:r>
      <w:r w:rsidRPr="009C6657">
        <w:rPr>
          <w:sz w:val="20"/>
          <w:szCs w:val="20"/>
        </w:rPr>
        <w:t>l</w:t>
      </w:r>
      <w:r w:rsidRPr="009C6657">
        <w:rPr>
          <w:sz w:val="20"/>
          <w:szCs w:val="20"/>
        </w:rPr>
        <w:t>se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 xml:space="preserve">Mindre behov for vejledningsforløb giver mulighed for kun at beholde de mest </w:t>
      </w:r>
      <w:proofErr w:type="spellStart"/>
      <w:r w:rsidRPr="009C6657">
        <w:rPr>
          <w:sz w:val="20"/>
          <w:szCs w:val="20"/>
        </w:rPr>
        <w:t>cost-effektive</w:t>
      </w:r>
      <w:proofErr w:type="spellEnd"/>
      <w:r w:rsidRPr="009C6657">
        <w:rPr>
          <w:sz w:val="20"/>
          <w:szCs w:val="20"/>
        </w:rPr>
        <w:t xml:space="preserve"> tilbud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Nødvendigt at omprioriter</w:t>
      </w:r>
      <w:r w:rsidR="00BC5396">
        <w:rPr>
          <w:sz w:val="20"/>
          <w:szCs w:val="20"/>
        </w:rPr>
        <w:t>e</w:t>
      </w:r>
      <w:r w:rsidRPr="009C6657">
        <w:rPr>
          <w:sz w:val="20"/>
          <w:szCs w:val="20"/>
        </w:rPr>
        <w:t xml:space="preserve"> ressourcer i jobcentret fra sagsbehandlere til virksomhedskonsulenter</w:t>
      </w:r>
    </w:p>
    <w:p w:rsidR="009C6657" w:rsidRPr="009C6657" w:rsidRDefault="009C6657" w:rsidP="009C6657"/>
    <w:p w:rsidR="009C6657" w:rsidRPr="009C6657" w:rsidRDefault="009C6657" w:rsidP="009C6657">
      <w:r w:rsidRPr="009C6657">
        <w:t>Risici og ulemper ift. dette scenarie: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Det vil være svært at oprette virksomhedspraktikker nok, især vil virkso</w:t>
      </w:r>
      <w:r w:rsidRPr="009C6657">
        <w:rPr>
          <w:sz w:val="20"/>
          <w:szCs w:val="20"/>
        </w:rPr>
        <w:t>m</w:t>
      </w:r>
      <w:r w:rsidRPr="009C6657">
        <w:rPr>
          <w:sz w:val="20"/>
          <w:szCs w:val="20"/>
        </w:rPr>
        <w:t xml:space="preserve">hederne ikke være interesserede i at få de svageste/skæve 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Selv hvis der kan skaffes tilstrækkeligt mange virksomhedspraktikker er der risiko for at det ikke er muligt at finde relevante praktikker til alle målgru</w:t>
      </w:r>
      <w:r w:rsidRPr="009C6657">
        <w:rPr>
          <w:sz w:val="20"/>
          <w:szCs w:val="20"/>
        </w:rPr>
        <w:t>p</w:t>
      </w:r>
      <w:r w:rsidRPr="009C6657">
        <w:rPr>
          <w:sz w:val="20"/>
          <w:szCs w:val="20"/>
        </w:rPr>
        <w:t>per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spacing w:after="200" w:line="276" w:lineRule="auto"/>
        <w:rPr>
          <w:b/>
          <w:sz w:val="20"/>
          <w:szCs w:val="20"/>
        </w:rPr>
      </w:pPr>
      <w:r w:rsidRPr="009C6657">
        <w:rPr>
          <w:sz w:val="20"/>
          <w:szCs w:val="20"/>
        </w:rPr>
        <w:t>Effekten af indsatsen er usikker – sædvanligvis er der gode effekter af vir</w:t>
      </w:r>
      <w:r w:rsidRPr="009C6657">
        <w:rPr>
          <w:sz w:val="20"/>
          <w:szCs w:val="20"/>
        </w:rPr>
        <w:t>k</w:t>
      </w:r>
      <w:r w:rsidRPr="009C6657">
        <w:rPr>
          <w:sz w:val="20"/>
          <w:szCs w:val="20"/>
        </w:rPr>
        <w:t>somhedsaktivering, men den konsekvente brug af mentor frem for vejle</w:t>
      </w:r>
      <w:r w:rsidRPr="009C6657">
        <w:rPr>
          <w:sz w:val="20"/>
          <w:szCs w:val="20"/>
        </w:rPr>
        <w:t>d</w:t>
      </w:r>
      <w:r w:rsidRPr="009C6657">
        <w:rPr>
          <w:sz w:val="20"/>
          <w:szCs w:val="20"/>
        </w:rPr>
        <w:t>ningsaktivering er ikke tidligere afprøvet i stor skala</w:t>
      </w:r>
      <w:r w:rsidRPr="009C6657">
        <w:rPr>
          <w:b/>
          <w:sz w:val="20"/>
          <w:szCs w:val="20"/>
        </w:rPr>
        <w:br w:type="page"/>
      </w:r>
    </w:p>
    <w:p w:rsidR="009C6657" w:rsidRPr="009C6657" w:rsidRDefault="009C6657" w:rsidP="009C6657">
      <w:pPr>
        <w:rPr>
          <w:b/>
        </w:rPr>
      </w:pPr>
      <w:r w:rsidRPr="009C6657">
        <w:rPr>
          <w:b/>
        </w:rPr>
        <w:lastRenderedPageBreak/>
        <w:t xml:space="preserve">5) </w:t>
      </w:r>
      <w:r w:rsidR="00714580">
        <w:rPr>
          <w:b/>
        </w:rPr>
        <w:t>Aktiverings-buffet</w:t>
      </w:r>
    </w:p>
    <w:p w:rsidR="009C6657" w:rsidRPr="009C6657" w:rsidRDefault="009C6657" w:rsidP="009C6657"/>
    <w:p w:rsidR="00BC5396" w:rsidRPr="009C6657" w:rsidRDefault="00BC5396" w:rsidP="00BC5396">
      <w:pPr>
        <w:rPr>
          <w:i/>
          <w:u w:val="single"/>
        </w:rPr>
      </w:pPr>
      <w:r>
        <w:rPr>
          <w:i/>
          <w:u w:val="single"/>
        </w:rPr>
        <w:t>Beskrivelse af scenariet</w:t>
      </w:r>
    </w:p>
    <w:p w:rsidR="009C6657" w:rsidRPr="009C6657" w:rsidRDefault="00BC5396" w:rsidP="00BC5396">
      <w:r>
        <w:t>Man kunne vælge</w:t>
      </w:r>
      <w:r w:rsidR="00714580">
        <w:t xml:space="preserve"> at gennemføre </w:t>
      </w:r>
      <w:proofErr w:type="spellStart"/>
      <w:r w:rsidR="00714580">
        <w:t>empowerment-tænkningen</w:t>
      </w:r>
      <w:proofErr w:type="spellEnd"/>
      <w:r w:rsidR="00714580">
        <w:t xml:space="preserve"> meget kraftigt ved i videst mulige omfang at indføre frit valg af aktiveringsindsats. Således vil borg</w:t>
      </w:r>
      <w:r w:rsidR="00714580">
        <w:t>e</w:t>
      </w:r>
      <w:r w:rsidR="00714580">
        <w:t xml:space="preserve">rens ønsker til indsatsens indhold, omfang og timing mv. styre indsatsen, frem for at indsatsen tilrettelægges </w:t>
      </w:r>
      <w:r w:rsidR="009C6657" w:rsidRPr="009C6657">
        <w:t xml:space="preserve">med udgangspunkt i en </w:t>
      </w:r>
      <w:r w:rsidR="00714580">
        <w:t>politisk og administrativt beslu</w:t>
      </w:r>
      <w:r w:rsidR="00714580">
        <w:t>t</w:t>
      </w:r>
      <w:r w:rsidR="00714580">
        <w:t xml:space="preserve">tet </w:t>
      </w:r>
      <w:r w:rsidR="009C6657" w:rsidRPr="009C6657">
        <w:t>aktiveringsstr</w:t>
      </w:r>
      <w:r w:rsidR="009C6657" w:rsidRPr="009C6657">
        <w:t>a</w:t>
      </w:r>
      <w:r w:rsidR="009C6657" w:rsidRPr="009C6657">
        <w:t>tegi.</w:t>
      </w:r>
    </w:p>
    <w:p w:rsidR="009C6657" w:rsidRPr="009C6657" w:rsidRDefault="009C6657" w:rsidP="009C6657"/>
    <w:p w:rsidR="009C6657" w:rsidRPr="009C6657" w:rsidRDefault="009C6657" w:rsidP="009C6657">
      <w:r w:rsidRPr="009C6657">
        <w:t xml:space="preserve">De borgere, som selv er i stand til at tage stilling til egen vej til job/uddannelse, vælger således selv mellem tilgængelige tilbud og vælger selv aktiveringstidspunkt (med overholdelse af </w:t>
      </w:r>
      <w:proofErr w:type="spellStart"/>
      <w:r w:rsidRPr="009C6657">
        <w:t>ret-og-pligt</w:t>
      </w:r>
      <w:proofErr w:type="spellEnd"/>
      <w:r w:rsidRPr="009C6657">
        <w:t>). Øvrige borgere vælger aktiveringstilbud i sa</w:t>
      </w:r>
      <w:r w:rsidRPr="009C6657">
        <w:t>m</w:t>
      </w:r>
      <w:r w:rsidRPr="009C6657">
        <w:t>råd med sa</w:t>
      </w:r>
      <w:r w:rsidR="003F0C54">
        <w:t>gsbehandler. D</w:t>
      </w:r>
      <w:r w:rsidRPr="009C6657">
        <w:t>og er borgere med komplekse problemstillinger og behov for en tværfaglig indsats undtaget fra denne mulighed</w:t>
      </w:r>
      <w:r w:rsidR="003F0C54">
        <w:t xml:space="preserve"> på grund af lovkravene til v</w:t>
      </w:r>
      <w:r w:rsidR="003F0C54">
        <w:t>i</w:t>
      </w:r>
      <w:r w:rsidR="003F0C54">
        <w:t>sitationsprocessen i rehabiliteringsteam</w:t>
      </w:r>
      <w:r w:rsidRPr="009C6657">
        <w:t xml:space="preserve"> – men de inddrages grundigt i forbindelse med</w:t>
      </w:r>
      <w:r w:rsidR="003F0C54">
        <w:t xml:space="preserve"> denne</w:t>
      </w:r>
      <w:r w:rsidRPr="009C6657">
        <w:t xml:space="preserve"> visitation. Fremgangsmåden skal sikre, at borgerne oplever aktivering</w:t>
      </w:r>
      <w:r w:rsidRPr="009C6657">
        <w:t>s</w:t>
      </w:r>
      <w:r w:rsidRPr="009C6657">
        <w:t>indsatsen som meningsfuld, at borgerne selv tager ansvar for egen fremtid og i si</w:t>
      </w:r>
      <w:r w:rsidRPr="009C6657">
        <w:t>d</w:t>
      </w:r>
      <w:r w:rsidRPr="009C6657">
        <w:t>ste ende får det største udbytte af indsa</w:t>
      </w:r>
      <w:r w:rsidRPr="009C6657">
        <w:t>t</w:t>
      </w:r>
      <w:r w:rsidRPr="009C6657">
        <w:t>sen.</w:t>
      </w:r>
    </w:p>
    <w:p w:rsidR="009C6657" w:rsidRPr="009C6657" w:rsidRDefault="009C6657" w:rsidP="009C6657"/>
    <w:p w:rsidR="009C6657" w:rsidRPr="00903C2E" w:rsidRDefault="009C6657" w:rsidP="009C6657">
      <w:r w:rsidRPr="009C6657">
        <w:t>Der udarbejdes tilbudsvifter og aktiveringsbudget for hver målgruppe. Styring af udgifter, aktiviteter og effekter på aktiveringsområdet sker således ved løbende ti</w:t>
      </w:r>
      <w:r w:rsidRPr="009C6657">
        <w:t>l</w:t>
      </w:r>
      <w:r w:rsidRPr="00903C2E">
        <w:t xml:space="preserve">pasning af tilbudsvifterne. </w:t>
      </w:r>
    </w:p>
    <w:p w:rsidR="009C6657" w:rsidRPr="00903C2E" w:rsidRDefault="009C6657" w:rsidP="009C6657"/>
    <w:p w:rsidR="009C6657" w:rsidRPr="00903C2E" w:rsidRDefault="009C6657" w:rsidP="009C6657">
      <w:pPr>
        <w:rPr>
          <w:i/>
          <w:u w:val="single"/>
        </w:rPr>
      </w:pPr>
      <w:r w:rsidRPr="00903C2E">
        <w:rPr>
          <w:i/>
          <w:u w:val="single"/>
        </w:rPr>
        <w:t xml:space="preserve">Væsentligste ændringer ift. nuværende indsats </w:t>
      </w:r>
    </w:p>
    <w:p w:rsidR="009C6657" w:rsidRPr="00903C2E" w:rsidRDefault="003F0C54" w:rsidP="009C6657">
      <w:r w:rsidRPr="00903C2E">
        <w:t>S</w:t>
      </w:r>
      <w:r w:rsidR="009C6657" w:rsidRPr="00903C2E">
        <w:t>cenariets væsentligste ændringer ift. nuværende indsats er:</w:t>
      </w:r>
    </w:p>
    <w:p w:rsidR="009C6657" w:rsidRPr="00903C2E" w:rsidRDefault="009C6657" w:rsidP="009C6657">
      <w:pPr>
        <w:pStyle w:val="Listeafsnit"/>
        <w:numPr>
          <w:ilvl w:val="0"/>
          <w:numId w:val="31"/>
        </w:numPr>
        <w:rPr>
          <w:i/>
          <w:sz w:val="20"/>
          <w:szCs w:val="20"/>
          <w:u w:val="single"/>
        </w:rPr>
      </w:pPr>
      <w:r w:rsidRPr="00903C2E">
        <w:rPr>
          <w:sz w:val="20"/>
          <w:szCs w:val="20"/>
        </w:rPr>
        <w:t xml:space="preserve">Aktiveringsindsatsen skal i (meget) større omfang </w:t>
      </w:r>
      <w:r w:rsidR="00903C2E" w:rsidRPr="00903C2E">
        <w:rPr>
          <w:sz w:val="20"/>
          <w:szCs w:val="20"/>
        </w:rPr>
        <w:t>tage</w:t>
      </w:r>
      <w:r w:rsidRPr="00903C2E">
        <w:rPr>
          <w:sz w:val="20"/>
          <w:szCs w:val="20"/>
        </w:rPr>
        <w:t>udgangspunkt i bo</w:t>
      </w:r>
      <w:r w:rsidRPr="00903C2E">
        <w:rPr>
          <w:sz w:val="20"/>
          <w:szCs w:val="20"/>
        </w:rPr>
        <w:t>r</w:t>
      </w:r>
      <w:r w:rsidRPr="00903C2E">
        <w:rPr>
          <w:sz w:val="20"/>
          <w:szCs w:val="20"/>
        </w:rPr>
        <w:t>gerens ønsker</w:t>
      </w:r>
      <w:r w:rsidR="00903C2E" w:rsidRPr="00903C2E">
        <w:rPr>
          <w:sz w:val="20"/>
          <w:szCs w:val="20"/>
        </w:rPr>
        <w:t xml:space="preserve"> til ikke bare fremtidigt job/uddannelse men også i borgerens konkrete ønsker til indsatsen</w:t>
      </w:r>
    </w:p>
    <w:p w:rsidR="009C6657" w:rsidRPr="00903C2E" w:rsidRDefault="009C6657" w:rsidP="009C6657">
      <w:pPr>
        <w:pStyle w:val="Listeafsnit"/>
        <w:numPr>
          <w:ilvl w:val="0"/>
          <w:numId w:val="31"/>
        </w:numPr>
        <w:rPr>
          <w:i/>
          <w:sz w:val="20"/>
          <w:szCs w:val="20"/>
          <w:u w:val="single"/>
        </w:rPr>
      </w:pPr>
      <w:r w:rsidRPr="00903C2E">
        <w:rPr>
          <w:sz w:val="20"/>
          <w:szCs w:val="20"/>
        </w:rPr>
        <w:t>Tilpasning af tilbudsvifter som det primære redskab til central styring af in</w:t>
      </w:r>
      <w:r w:rsidRPr="00903C2E">
        <w:rPr>
          <w:sz w:val="20"/>
          <w:szCs w:val="20"/>
        </w:rPr>
        <w:t>d</w:t>
      </w:r>
      <w:r w:rsidRPr="00903C2E">
        <w:rPr>
          <w:sz w:val="20"/>
          <w:szCs w:val="20"/>
        </w:rPr>
        <w:t>sats</w:t>
      </w:r>
    </w:p>
    <w:p w:rsidR="009C6657" w:rsidRPr="00903C2E" w:rsidRDefault="009C6657" w:rsidP="009C6657"/>
    <w:p w:rsidR="009C6657" w:rsidRPr="00903C2E" w:rsidRDefault="009C6657" w:rsidP="009C6657">
      <w:pPr>
        <w:rPr>
          <w:i/>
          <w:u w:val="single"/>
        </w:rPr>
      </w:pPr>
      <w:r w:rsidRPr="00903C2E">
        <w:rPr>
          <w:i/>
          <w:u w:val="single"/>
        </w:rPr>
        <w:t>Væsentligste input fra administrativ drøftelse i C-BB</w:t>
      </w:r>
    </w:p>
    <w:p w:rsidR="009C6657" w:rsidRPr="00903C2E" w:rsidRDefault="009C6657" w:rsidP="009C6657">
      <w:r w:rsidRPr="00903C2E">
        <w:t>Opmærksomhedspunkter ift. at opnå succes med dette scenarie:</w:t>
      </w:r>
    </w:p>
    <w:p w:rsidR="009C6657" w:rsidRPr="00903C2E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03C2E">
        <w:rPr>
          <w:sz w:val="20"/>
          <w:szCs w:val="20"/>
        </w:rPr>
        <w:t xml:space="preserve">Selvbestemmelse </w:t>
      </w:r>
      <w:r w:rsidR="00903C2E" w:rsidRPr="00903C2E">
        <w:rPr>
          <w:sz w:val="20"/>
          <w:szCs w:val="20"/>
        </w:rPr>
        <w:t xml:space="preserve">ift. indsatsen </w:t>
      </w:r>
      <w:r w:rsidRPr="00903C2E">
        <w:rPr>
          <w:sz w:val="20"/>
          <w:szCs w:val="20"/>
        </w:rPr>
        <w:t>forudsætter, at borgeren har eller sætter sig et mål for beskæftigelse/progression og vil tage ansvar for at nå det</w:t>
      </w:r>
    </w:p>
    <w:p w:rsidR="009C6657" w:rsidRPr="00903C2E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03C2E">
        <w:rPr>
          <w:sz w:val="20"/>
          <w:szCs w:val="20"/>
        </w:rPr>
        <w:t>Vigtigt at beskæftigelsesindsatsen klassiske fokus på job/uddannelse inde</w:t>
      </w:r>
      <w:r w:rsidRPr="00903C2E">
        <w:rPr>
          <w:sz w:val="20"/>
          <w:szCs w:val="20"/>
        </w:rPr>
        <w:t>n</w:t>
      </w:r>
      <w:r w:rsidRPr="00903C2E">
        <w:rPr>
          <w:sz w:val="20"/>
          <w:szCs w:val="20"/>
        </w:rPr>
        <w:t>for en overskuelig tidshorisont fastholdes</w:t>
      </w:r>
    </w:p>
    <w:p w:rsidR="009C6657" w:rsidRPr="00903C2E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03C2E">
        <w:rPr>
          <w:sz w:val="20"/>
          <w:szCs w:val="20"/>
        </w:rPr>
        <w:t xml:space="preserve">Scenariet stiller store krav til </w:t>
      </w:r>
      <w:proofErr w:type="spellStart"/>
      <w:r w:rsidRPr="00903C2E">
        <w:rPr>
          <w:sz w:val="20"/>
          <w:szCs w:val="20"/>
        </w:rPr>
        <w:t>sagbehandlerne</w:t>
      </w:r>
      <w:proofErr w:type="spellEnd"/>
      <w:r w:rsidRPr="00903C2E">
        <w:rPr>
          <w:sz w:val="20"/>
          <w:szCs w:val="20"/>
        </w:rPr>
        <w:t xml:space="preserve"> ift. </w:t>
      </w:r>
      <w:proofErr w:type="gramStart"/>
      <w:r w:rsidRPr="00903C2E">
        <w:rPr>
          <w:sz w:val="20"/>
          <w:szCs w:val="20"/>
        </w:rPr>
        <w:t>motivation og vejledning vedr. valg af tilbud samt forventningsafstemning ift.</w:t>
      </w:r>
      <w:proofErr w:type="gramEnd"/>
      <w:r w:rsidRPr="00903C2E">
        <w:rPr>
          <w:sz w:val="20"/>
          <w:szCs w:val="20"/>
        </w:rPr>
        <w:t xml:space="preserve"> rammerne for det frie valg</w:t>
      </w:r>
    </w:p>
    <w:p w:rsidR="009C6657" w:rsidRPr="00903C2E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03C2E">
        <w:rPr>
          <w:sz w:val="20"/>
          <w:szCs w:val="20"/>
        </w:rPr>
        <w:t>Der skal være klare og snævre rammer for selvbestemmelse, herunder især klare rammer for tværfaglige indsatser</w:t>
      </w:r>
    </w:p>
    <w:p w:rsidR="009C6657" w:rsidRPr="00903C2E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03C2E">
        <w:rPr>
          <w:sz w:val="20"/>
          <w:szCs w:val="20"/>
        </w:rPr>
        <w:t>Behov for særlig indsats overfor de grupper, som vil forsøge at skjule sig og fravælge indsatsen, blandt andet med fokus på rådighedsafprøvning</w:t>
      </w:r>
    </w:p>
    <w:p w:rsidR="009C6657" w:rsidRPr="00903C2E" w:rsidRDefault="009C6657" w:rsidP="009C6657"/>
    <w:p w:rsidR="009C6657" w:rsidRPr="00903C2E" w:rsidRDefault="009C6657" w:rsidP="009C6657">
      <w:r w:rsidRPr="00903C2E">
        <w:t>Risici og ulemper ift. dette scenarie:</w:t>
      </w:r>
    </w:p>
    <w:p w:rsidR="009C6657" w:rsidRPr="00903C2E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03C2E">
        <w:rPr>
          <w:sz w:val="20"/>
          <w:szCs w:val="20"/>
        </w:rPr>
        <w:t>Selvbestemmelse medfører vanskelige vilkår for økonomi- og kapacitetsst</w:t>
      </w:r>
      <w:r w:rsidRPr="00903C2E">
        <w:rPr>
          <w:sz w:val="20"/>
          <w:szCs w:val="20"/>
        </w:rPr>
        <w:t>y</w:t>
      </w:r>
      <w:r w:rsidRPr="00903C2E">
        <w:rPr>
          <w:sz w:val="20"/>
          <w:szCs w:val="20"/>
        </w:rPr>
        <w:t>ring, der er risiko for at attraktive/dyre aktiveringstilbud bliver efter ’først til mølle’ og for manglende kontinuitet i indsatsen overfor den enkelte</w:t>
      </w:r>
    </w:p>
    <w:p w:rsidR="009C6657" w:rsidRPr="00903C2E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03C2E">
        <w:rPr>
          <w:sz w:val="20"/>
          <w:szCs w:val="20"/>
        </w:rPr>
        <w:t>Risiko for at stærke målgrupper med det mindste behov vil være mest tilb</w:t>
      </w:r>
      <w:r w:rsidRPr="00903C2E">
        <w:rPr>
          <w:sz w:val="20"/>
          <w:szCs w:val="20"/>
        </w:rPr>
        <w:t>ø</w:t>
      </w:r>
      <w:r w:rsidRPr="00903C2E">
        <w:rPr>
          <w:sz w:val="20"/>
          <w:szCs w:val="20"/>
        </w:rPr>
        <w:t>jelige og bedst i stand til at tiltrække sig attraktive aktiveringstilbud</w:t>
      </w:r>
    </w:p>
    <w:p w:rsidR="009C6657" w:rsidRPr="00903C2E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03C2E">
        <w:rPr>
          <w:sz w:val="20"/>
          <w:szCs w:val="20"/>
        </w:rPr>
        <w:t>Selvbestemmelse ift. helhedsorienteret indsats besværliggøres af at indsa</w:t>
      </w:r>
      <w:r w:rsidRPr="00903C2E">
        <w:rPr>
          <w:sz w:val="20"/>
          <w:szCs w:val="20"/>
        </w:rPr>
        <w:t>t</w:t>
      </w:r>
      <w:r w:rsidRPr="00903C2E">
        <w:rPr>
          <w:sz w:val="20"/>
          <w:szCs w:val="20"/>
        </w:rPr>
        <w:t>sen vedrører flere sektorer/centre og lovgivningsområde</w:t>
      </w:r>
      <w:r w:rsidR="00BC5396" w:rsidRPr="00903C2E">
        <w:rPr>
          <w:sz w:val="20"/>
          <w:szCs w:val="20"/>
        </w:rPr>
        <w:t>r</w:t>
      </w:r>
    </w:p>
    <w:p w:rsidR="009C6657" w:rsidRPr="00903C2E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03C2E">
        <w:rPr>
          <w:sz w:val="20"/>
          <w:szCs w:val="20"/>
        </w:rPr>
        <w:t>Det er en udfordring at mange borgere formentlig</w:t>
      </w:r>
      <w:r w:rsidR="00903C2E" w:rsidRPr="00903C2E">
        <w:rPr>
          <w:sz w:val="20"/>
          <w:szCs w:val="20"/>
        </w:rPr>
        <w:t xml:space="preserve"> </w:t>
      </w:r>
      <w:r w:rsidRPr="00903C2E">
        <w:rPr>
          <w:sz w:val="20"/>
          <w:szCs w:val="20"/>
        </w:rPr>
        <w:t>vil opstille urealistiske e</w:t>
      </w:r>
      <w:r w:rsidRPr="00903C2E">
        <w:rPr>
          <w:sz w:val="20"/>
          <w:szCs w:val="20"/>
        </w:rPr>
        <w:t>l</w:t>
      </w:r>
      <w:r w:rsidRPr="00903C2E">
        <w:rPr>
          <w:sz w:val="20"/>
          <w:szCs w:val="20"/>
        </w:rPr>
        <w:t xml:space="preserve">ler uacceptable mål, herunder mål med svagt </w:t>
      </w:r>
      <w:proofErr w:type="spellStart"/>
      <w:r w:rsidRPr="00903C2E">
        <w:rPr>
          <w:sz w:val="20"/>
          <w:szCs w:val="20"/>
        </w:rPr>
        <w:t>jobfokus</w:t>
      </w:r>
      <w:proofErr w:type="spellEnd"/>
      <w:r w:rsidRPr="00903C2E">
        <w:rPr>
          <w:sz w:val="20"/>
          <w:szCs w:val="20"/>
        </w:rPr>
        <w:t xml:space="preserve"> på kort sigt</w:t>
      </w:r>
    </w:p>
    <w:p w:rsidR="009C6657" w:rsidRPr="009C6657" w:rsidRDefault="009C6657" w:rsidP="009C6657">
      <w:pPr>
        <w:spacing w:after="200" w:line="276" w:lineRule="auto"/>
        <w:rPr>
          <w:i/>
          <w:u w:val="single"/>
        </w:rPr>
      </w:pPr>
      <w:r w:rsidRPr="009C6657">
        <w:rPr>
          <w:i/>
          <w:u w:val="single"/>
        </w:rPr>
        <w:br w:type="page"/>
      </w:r>
    </w:p>
    <w:p w:rsidR="009C6657" w:rsidRPr="009C6657" w:rsidRDefault="009C6657" w:rsidP="009C6657">
      <w:pPr>
        <w:rPr>
          <w:b/>
        </w:rPr>
      </w:pPr>
      <w:r w:rsidRPr="009C6657">
        <w:rPr>
          <w:b/>
        </w:rPr>
        <w:lastRenderedPageBreak/>
        <w:t xml:space="preserve">6) </w:t>
      </w:r>
      <w:proofErr w:type="spellStart"/>
      <w:r w:rsidRPr="009C6657">
        <w:rPr>
          <w:b/>
        </w:rPr>
        <w:t>STAR-scenariet</w:t>
      </w:r>
      <w:proofErr w:type="spellEnd"/>
    </w:p>
    <w:p w:rsidR="009C6657" w:rsidRPr="009C6657" w:rsidRDefault="009C6657" w:rsidP="009C6657"/>
    <w:p w:rsidR="00BC5396" w:rsidRPr="009C6657" w:rsidRDefault="00BC5396" w:rsidP="00BC5396">
      <w:pPr>
        <w:rPr>
          <w:i/>
          <w:u w:val="single"/>
        </w:rPr>
      </w:pPr>
      <w:r>
        <w:rPr>
          <w:i/>
          <w:u w:val="single"/>
        </w:rPr>
        <w:t>Beskrivelse af scenariet</w:t>
      </w:r>
    </w:p>
    <w:p w:rsidR="009C6657" w:rsidRPr="009C6657" w:rsidRDefault="00BC5396" w:rsidP="00BC5396">
      <w:r>
        <w:t>Man kunne vælge</w:t>
      </w:r>
      <w:r w:rsidRPr="009C6657">
        <w:t>, at</w:t>
      </w:r>
      <w:r>
        <w:t xml:space="preserve"> </w:t>
      </w:r>
      <w:r w:rsidR="009C6657" w:rsidRPr="009C6657">
        <w:t xml:space="preserve">”nulstille” kommunens hidtidige strategiske beslutninger vedr. prioritering af målgrupper, redskaber og dimensionering af indsatsen og alene lade sig inspirere af statens (Styrelsen for Arbejdsmarkeds og Rekruttering, </w:t>
      </w:r>
      <w:proofErr w:type="spellStart"/>
      <w:r w:rsidR="009C6657" w:rsidRPr="009C6657">
        <w:t>STAR’s</w:t>
      </w:r>
      <w:proofErr w:type="spellEnd"/>
      <w:r w:rsidR="009C6657" w:rsidRPr="009C6657">
        <w:t>) a</w:t>
      </w:r>
      <w:r w:rsidR="009C6657" w:rsidRPr="009C6657">
        <w:t>n</w:t>
      </w:r>
      <w:r w:rsidR="009C6657" w:rsidRPr="009C6657">
        <w:t xml:space="preserve">befalinger til indsatsen og økonomiske forudsætninger for indsatsen. </w:t>
      </w:r>
    </w:p>
    <w:p w:rsidR="009C6657" w:rsidRPr="009C6657" w:rsidRDefault="009C6657" w:rsidP="009C6657"/>
    <w:p w:rsidR="009C6657" w:rsidRPr="009C6657" w:rsidRDefault="009C6657" w:rsidP="009C6657">
      <w:proofErr w:type="spellStart"/>
      <w:r w:rsidRPr="009C6657">
        <w:t>STAR’s</w:t>
      </w:r>
      <w:proofErr w:type="spellEnd"/>
      <w:r w:rsidRPr="009C6657">
        <w:t xml:space="preserve"> anbefalinger/krav til indsatsen er velkendte og omfatter blandt andet 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Intensiv helhedsorienteret indsats til de svageste målgrupper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Øget brug af mentor overfor svageste målgrupper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Tidlig indsats overfor de stærkere målgrupper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Øget brug af virksomhedsaktivering overfor de stærke målgrupper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Krav om højere effekter af indsatsen</w:t>
      </w:r>
    </w:p>
    <w:p w:rsidR="009C6657" w:rsidRPr="009C6657" w:rsidRDefault="009C6657" w:rsidP="009C6657"/>
    <w:p w:rsidR="009C6657" w:rsidRPr="009C6657" w:rsidRDefault="009C6657" w:rsidP="009C6657">
      <w:r w:rsidRPr="009C6657">
        <w:t>Desuden anbefales/kræves intensivt kontaktforløb med unge og ledige, tidlig o</w:t>
      </w:r>
      <w:r w:rsidRPr="009C6657">
        <w:t>p</w:t>
      </w:r>
      <w:r w:rsidRPr="009C6657">
        <w:t>følgning på sygemeldte og koordinerede sagsbehandler til de svageste.</w:t>
      </w:r>
    </w:p>
    <w:p w:rsidR="009C6657" w:rsidRPr="009C6657" w:rsidRDefault="009C6657" w:rsidP="009C6657"/>
    <w:p w:rsidR="009C6657" w:rsidRPr="009C6657" w:rsidRDefault="009C6657" w:rsidP="009C6657">
      <w:pPr>
        <w:rPr>
          <w:i/>
          <w:u w:val="single"/>
        </w:rPr>
      </w:pPr>
      <w:r w:rsidRPr="009C6657">
        <w:rPr>
          <w:i/>
          <w:u w:val="single"/>
        </w:rPr>
        <w:t xml:space="preserve">Væsentligste ændringer ift. nuværende indsats </w:t>
      </w:r>
    </w:p>
    <w:p w:rsidR="009C6657" w:rsidRPr="009C6657" w:rsidRDefault="009C6657" w:rsidP="009C6657">
      <w:proofErr w:type="spellStart"/>
      <w:r w:rsidRPr="009C6657">
        <w:t>STAR-scenariets</w:t>
      </w:r>
      <w:proofErr w:type="spellEnd"/>
      <w:r w:rsidRPr="009C6657">
        <w:t xml:space="preserve"> væsentligste ændringer ift. nuværende indsats er: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i/>
          <w:sz w:val="20"/>
          <w:szCs w:val="20"/>
          <w:u w:val="single"/>
        </w:rPr>
      </w:pPr>
      <w:r w:rsidRPr="009C6657">
        <w:rPr>
          <w:sz w:val="20"/>
          <w:szCs w:val="20"/>
        </w:rPr>
        <w:t>Fokus på efterlevelse af statens anbefalinger til beskæftigelsesindsatsen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i/>
          <w:sz w:val="20"/>
          <w:szCs w:val="20"/>
          <w:u w:val="single"/>
        </w:rPr>
      </w:pPr>
      <w:r w:rsidRPr="009C6657">
        <w:rPr>
          <w:sz w:val="20"/>
          <w:szCs w:val="20"/>
        </w:rPr>
        <w:t>Mere beskæftigelsesindsats for færre penge, idet udgifterne til indsatsen skal holdes indenfor refusionsloftet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i/>
          <w:sz w:val="20"/>
          <w:szCs w:val="20"/>
          <w:u w:val="single"/>
        </w:rPr>
      </w:pPr>
      <w:r w:rsidRPr="009C6657">
        <w:rPr>
          <w:sz w:val="20"/>
          <w:szCs w:val="20"/>
        </w:rPr>
        <w:t xml:space="preserve">Større fokus og opfølgning på </w:t>
      </w:r>
      <w:proofErr w:type="spellStart"/>
      <w:r w:rsidRPr="009C6657">
        <w:rPr>
          <w:sz w:val="20"/>
          <w:szCs w:val="20"/>
        </w:rPr>
        <w:t>jobeffekterne</w:t>
      </w:r>
      <w:proofErr w:type="spellEnd"/>
      <w:r w:rsidRPr="009C6657">
        <w:rPr>
          <w:sz w:val="20"/>
          <w:szCs w:val="20"/>
        </w:rPr>
        <w:t xml:space="preserve"> af indsatsen</w:t>
      </w:r>
    </w:p>
    <w:p w:rsidR="009C6657" w:rsidRPr="009C6657" w:rsidRDefault="009C6657" w:rsidP="009C6657"/>
    <w:p w:rsidR="009C6657" w:rsidRPr="009C6657" w:rsidRDefault="009C6657" w:rsidP="009C6657">
      <w:pPr>
        <w:rPr>
          <w:i/>
          <w:u w:val="single"/>
        </w:rPr>
      </w:pPr>
      <w:r w:rsidRPr="009C6657">
        <w:rPr>
          <w:i/>
          <w:u w:val="single"/>
        </w:rPr>
        <w:t>Væsentligste input fra administrativ drøftelse i C-BB</w:t>
      </w:r>
    </w:p>
    <w:p w:rsidR="009C6657" w:rsidRPr="009C6657" w:rsidRDefault="009C6657" w:rsidP="009C6657">
      <w:pPr>
        <w:rPr>
          <w:i/>
          <w:u w:val="single"/>
        </w:rPr>
      </w:pPr>
    </w:p>
    <w:p w:rsidR="009C6657" w:rsidRPr="009C6657" w:rsidRDefault="009C6657" w:rsidP="009C6657">
      <w:r w:rsidRPr="009C6657">
        <w:t xml:space="preserve">Der er generel enighed om, at det i høj grad er </w:t>
      </w:r>
      <w:proofErr w:type="spellStart"/>
      <w:r w:rsidRPr="009C6657">
        <w:t>STAR’s</w:t>
      </w:r>
      <w:proofErr w:type="spellEnd"/>
      <w:r w:rsidRPr="009C6657">
        <w:t xml:space="preserve"> anbefalinger, der arbejdes efter i dag – men der er forskellige syn på, hvor langt vi er fra at realisere disse anbefalinger.</w:t>
      </w:r>
    </w:p>
    <w:p w:rsidR="009C6657" w:rsidRPr="009C6657" w:rsidRDefault="009C6657" w:rsidP="009C6657">
      <w:pPr>
        <w:rPr>
          <w:i/>
          <w:u w:val="single"/>
        </w:rPr>
      </w:pPr>
    </w:p>
    <w:p w:rsidR="009C6657" w:rsidRPr="009C6657" w:rsidRDefault="009C6657" w:rsidP="009C6657">
      <w:r w:rsidRPr="009C6657">
        <w:t>Opmærksomhedspunkter ift. at opnå succes med dette scenarie: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proofErr w:type="spellStart"/>
      <w:r w:rsidRPr="009C6657">
        <w:rPr>
          <w:sz w:val="20"/>
          <w:szCs w:val="20"/>
        </w:rPr>
        <w:t>STAR’s</w:t>
      </w:r>
      <w:proofErr w:type="spellEnd"/>
      <w:r w:rsidRPr="009C6657">
        <w:rPr>
          <w:sz w:val="20"/>
          <w:szCs w:val="20"/>
        </w:rPr>
        <w:t xml:space="preserve"> anbefalinger er utilstrækkelige i forhold til prioritering af målgrupper og design af indsats, hvilket skal ske lokalt – i forhold til indsatsen er der tendens til ’</w:t>
      </w:r>
      <w:proofErr w:type="spellStart"/>
      <w:r w:rsidRPr="009C6657">
        <w:rPr>
          <w:sz w:val="20"/>
          <w:szCs w:val="20"/>
        </w:rPr>
        <w:t>one</w:t>
      </w:r>
      <w:proofErr w:type="spellEnd"/>
      <w:r w:rsidRPr="009C6657">
        <w:rPr>
          <w:sz w:val="20"/>
          <w:szCs w:val="20"/>
        </w:rPr>
        <w:t xml:space="preserve"> </w:t>
      </w:r>
      <w:proofErr w:type="spellStart"/>
      <w:r w:rsidRPr="009C6657">
        <w:rPr>
          <w:sz w:val="20"/>
          <w:szCs w:val="20"/>
        </w:rPr>
        <w:t>size</w:t>
      </w:r>
      <w:proofErr w:type="spellEnd"/>
      <w:r w:rsidRPr="009C6657">
        <w:rPr>
          <w:sz w:val="20"/>
          <w:szCs w:val="20"/>
        </w:rPr>
        <w:t xml:space="preserve"> </w:t>
      </w:r>
      <w:proofErr w:type="spellStart"/>
      <w:r w:rsidRPr="009C6657">
        <w:rPr>
          <w:sz w:val="20"/>
          <w:szCs w:val="20"/>
        </w:rPr>
        <w:t>fits</w:t>
      </w:r>
      <w:proofErr w:type="spellEnd"/>
      <w:r w:rsidRPr="009C6657">
        <w:rPr>
          <w:sz w:val="20"/>
          <w:szCs w:val="20"/>
        </w:rPr>
        <w:t xml:space="preserve"> all’ i </w:t>
      </w:r>
      <w:proofErr w:type="spellStart"/>
      <w:r w:rsidRPr="009C6657">
        <w:rPr>
          <w:sz w:val="20"/>
          <w:szCs w:val="20"/>
        </w:rPr>
        <w:t>STAR’s</w:t>
      </w:r>
      <w:proofErr w:type="spellEnd"/>
      <w:r w:rsidRPr="009C6657">
        <w:rPr>
          <w:sz w:val="20"/>
          <w:szCs w:val="20"/>
        </w:rPr>
        <w:t xml:space="preserve"> anbefalinger.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Vigtigt at have øje for alle typer af effekter i forbindelse med aktivering, hi</w:t>
      </w:r>
      <w:r w:rsidRPr="009C6657">
        <w:rPr>
          <w:sz w:val="20"/>
          <w:szCs w:val="20"/>
        </w:rPr>
        <w:t>d</w:t>
      </w:r>
      <w:r w:rsidRPr="009C6657">
        <w:rPr>
          <w:sz w:val="20"/>
          <w:szCs w:val="20"/>
        </w:rPr>
        <w:t>til har der ikke været stort fokus på at udnytte fx skræmmeeffekten af u</w:t>
      </w:r>
      <w:r w:rsidRPr="009C6657">
        <w:rPr>
          <w:sz w:val="20"/>
          <w:szCs w:val="20"/>
        </w:rPr>
        <w:t>d</w:t>
      </w:r>
      <w:r w:rsidRPr="009C6657">
        <w:rPr>
          <w:sz w:val="20"/>
          <w:szCs w:val="20"/>
        </w:rPr>
        <w:t xml:space="preserve">sigten til aktivering 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 xml:space="preserve">Større løbende fokus på tilpasning af indsatsen på baggrund af </w:t>
      </w:r>
      <w:proofErr w:type="spellStart"/>
      <w:r w:rsidRPr="009C6657">
        <w:rPr>
          <w:sz w:val="20"/>
          <w:szCs w:val="20"/>
        </w:rPr>
        <w:t>jobeffekter</w:t>
      </w:r>
      <w:proofErr w:type="spellEnd"/>
      <w:r w:rsidRPr="009C6657">
        <w:rPr>
          <w:sz w:val="20"/>
          <w:szCs w:val="20"/>
        </w:rPr>
        <w:t xml:space="preserve"> og andre </w:t>
      </w:r>
      <w:proofErr w:type="spellStart"/>
      <w:r w:rsidRPr="009C6657">
        <w:rPr>
          <w:sz w:val="20"/>
          <w:szCs w:val="20"/>
        </w:rPr>
        <w:t>KPI’er</w:t>
      </w:r>
      <w:proofErr w:type="spellEnd"/>
      <w:r w:rsidRPr="009C6657">
        <w:rPr>
          <w:sz w:val="20"/>
          <w:szCs w:val="20"/>
        </w:rPr>
        <w:t xml:space="preserve"> kræver en kulturændring i hele sektoren</w:t>
      </w:r>
    </w:p>
    <w:p w:rsidR="009C6657" w:rsidRPr="009C6657" w:rsidRDefault="009C6657" w:rsidP="009C6657">
      <w:pPr>
        <w:pStyle w:val="Listeafsnit"/>
        <w:rPr>
          <w:sz w:val="20"/>
          <w:szCs w:val="20"/>
        </w:rPr>
      </w:pPr>
    </w:p>
    <w:p w:rsidR="009C6657" w:rsidRPr="009C6657" w:rsidRDefault="009C6657" w:rsidP="009C6657">
      <w:r w:rsidRPr="009C6657">
        <w:t>Risici og ulemper ift. dette scenarie: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Højere effektivitet kan være på bekostning af værdier i indsatsen og tilga</w:t>
      </w:r>
      <w:r w:rsidRPr="009C6657">
        <w:rPr>
          <w:sz w:val="20"/>
          <w:szCs w:val="20"/>
        </w:rPr>
        <w:t>n</w:t>
      </w:r>
      <w:r w:rsidRPr="009C6657">
        <w:rPr>
          <w:sz w:val="20"/>
          <w:szCs w:val="20"/>
        </w:rPr>
        <w:t>gen til borgerne, herunder fx oplevelse af mening i indsatsen og selvb</w:t>
      </w:r>
      <w:r w:rsidRPr="009C6657">
        <w:rPr>
          <w:sz w:val="20"/>
          <w:szCs w:val="20"/>
        </w:rPr>
        <w:t>e</w:t>
      </w:r>
      <w:r w:rsidRPr="009C6657">
        <w:rPr>
          <w:sz w:val="20"/>
          <w:szCs w:val="20"/>
        </w:rPr>
        <w:t>stemmelse</w:t>
      </w:r>
    </w:p>
    <w:p w:rsidR="009C6657" w:rsidRPr="009C6657" w:rsidRDefault="009C6657" w:rsidP="009C6657">
      <w:pPr>
        <w:pStyle w:val="Listeafsnit"/>
        <w:numPr>
          <w:ilvl w:val="0"/>
          <w:numId w:val="31"/>
        </w:numPr>
        <w:rPr>
          <w:sz w:val="20"/>
          <w:szCs w:val="20"/>
        </w:rPr>
      </w:pPr>
      <w:r w:rsidRPr="009C6657">
        <w:rPr>
          <w:sz w:val="20"/>
          <w:szCs w:val="20"/>
        </w:rPr>
        <w:t>Det forekommer urealistisk, at vi på kort sigt kan opnå både intensiv</w:t>
      </w:r>
      <w:r w:rsidRPr="009C6657">
        <w:rPr>
          <w:sz w:val="20"/>
          <w:szCs w:val="20"/>
        </w:rPr>
        <w:t>e</w:t>
      </w:r>
      <w:r w:rsidRPr="009C6657">
        <w:rPr>
          <w:sz w:val="20"/>
          <w:szCs w:val="20"/>
        </w:rPr>
        <w:t>ret/tidligere, mere effektiv og billigere indsats, som STAR anbefaler</w:t>
      </w:r>
    </w:p>
    <w:p w:rsidR="009C6657" w:rsidRPr="00A11240" w:rsidRDefault="009C6657" w:rsidP="009C6657">
      <w:pPr>
        <w:spacing w:after="200" w:line="276" w:lineRule="auto"/>
        <w:rPr>
          <w:b/>
        </w:rPr>
      </w:pPr>
    </w:p>
    <w:p w:rsidR="003734ED" w:rsidRPr="00C72B0C" w:rsidRDefault="003734ED" w:rsidP="00EB5A55">
      <w:pPr>
        <w:spacing w:line="260" w:lineRule="exact"/>
      </w:pPr>
    </w:p>
    <w:sectPr w:rsidR="003734ED" w:rsidRPr="00C72B0C" w:rsidSect="00153D3A">
      <w:headerReference w:type="default" r:id="rId9"/>
      <w:footerReference w:type="default" r:id="rId10"/>
      <w:footerReference w:type="first" r:id="rId11"/>
      <w:type w:val="continuous"/>
      <w:pgSz w:w="11906" w:h="16838" w:code="9"/>
      <w:pgMar w:top="2041" w:right="1701" w:bottom="323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2E" w:rsidRDefault="00903C2E">
      <w:r>
        <w:separator/>
      </w:r>
    </w:p>
  </w:endnote>
  <w:endnote w:type="continuationSeparator" w:id="0">
    <w:p w:rsidR="00903C2E" w:rsidRDefault="0090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rnock Pro Subhe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fficina Sans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2E" w:rsidRDefault="00903C2E">
    <w:pPr>
      <w:pStyle w:val="Sidefod"/>
    </w:pPr>
  </w:p>
  <w:p w:rsidR="00903C2E" w:rsidRDefault="00903C2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2E" w:rsidRDefault="00903C2E">
    <w:pPr>
      <w:pStyle w:val="Sidefod"/>
    </w:pPr>
  </w:p>
  <w:p w:rsidR="00903C2E" w:rsidRPr="007621E9" w:rsidRDefault="00903C2E" w:rsidP="007621E9">
    <w:pPr>
      <w:pStyle w:val="Sidefod"/>
      <w:ind w:right="-1135"/>
      <w:jc w:val="right"/>
      <w:rPr>
        <w:b/>
        <w:color w:val="666666"/>
        <w:sz w:val="18"/>
        <w:szCs w:val="18"/>
      </w:rPr>
    </w:pPr>
    <w:r w:rsidRPr="007621E9">
      <w:rPr>
        <w:b/>
        <w:color w:val="666666"/>
        <w:sz w:val="18"/>
        <w:szCs w:val="18"/>
      </w:rPr>
      <w:t xml:space="preserve">Side </w:t>
    </w:r>
    <w:r w:rsidRPr="007621E9">
      <w:rPr>
        <w:rStyle w:val="Sidetal"/>
        <w:b/>
        <w:color w:val="666666"/>
      </w:rPr>
      <w:fldChar w:fldCharType="begin"/>
    </w:r>
    <w:r w:rsidRPr="007621E9">
      <w:rPr>
        <w:rStyle w:val="Sidetal"/>
        <w:b/>
        <w:color w:val="666666"/>
      </w:rPr>
      <w:instrText xml:space="preserve"> PAGE </w:instrText>
    </w:r>
    <w:r w:rsidRPr="007621E9">
      <w:rPr>
        <w:rStyle w:val="Sidetal"/>
        <w:b/>
        <w:color w:val="666666"/>
      </w:rPr>
      <w:fldChar w:fldCharType="separate"/>
    </w:r>
    <w:r w:rsidR="008F054E">
      <w:rPr>
        <w:rStyle w:val="Sidetal"/>
        <w:b/>
        <w:noProof/>
        <w:color w:val="666666"/>
      </w:rPr>
      <w:t>7</w:t>
    </w:r>
    <w:r w:rsidRPr="007621E9">
      <w:rPr>
        <w:rStyle w:val="Sidetal"/>
        <w:b/>
        <w:color w:val="666666"/>
      </w:rPr>
      <w:fldChar w:fldCharType="end"/>
    </w:r>
  </w:p>
  <w:p w:rsidR="00903C2E" w:rsidRDefault="00903C2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2E" w:rsidRDefault="00903C2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2E" w:rsidRDefault="00903C2E">
      <w:r>
        <w:separator/>
      </w:r>
    </w:p>
  </w:footnote>
  <w:footnote w:type="continuationSeparator" w:id="0">
    <w:p w:rsidR="00903C2E" w:rsidRDefault="00903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2E" w:rsidRDefault="00903C2E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-219075</wp:posOffset>
          </wp:positionV>
          <wp:extent cx="75628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8" name="Billede 8" descr="Head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r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2E" w:rsidRDefault="00903C2E">
    <w:pPr>
      <w:pStyle w:val="Sidehoved"/>
      <w:rPr>
        <w:rStyle w:val="Sidetal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BED"/>
    <w:multiLevelType w:val="hybridMultilevel"/>
    <w:tmpl w:val="56A68EF0"/>
    <w:lvl w:ilvl="0" w:tplc="C3FEA2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669D"/>
    <w:multiLevelType w:val="singleLevel"/>
    <w:tmpl w:val="DF9E5D76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</w:abstractNum>
  <w:abstractNum w:abstractNumId="2">
    <w:nsid w:val="0A9E7091"/>
    <w:multiLevelType w:val="singleLevel"/>
    <w:tmpl w:val="9B405E0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3">
    <w:nsid w:val="0D3733D0"/>
    <w:multiLevelType w:val="hybridMultilevel"/>
    <w:tmpl w:val="70FA9520"/>
    <w:lvl w:ilvl="0" w:tplc="C3FEA2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D54C3"/>
    <w:multiLevelType w:val="singleLevel"/>
    <w:tmpl w:val="BBEE3E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5">
    <w:nsid w:val="0FC7081E"/>
    <w:multiLevelType w:val="hybridMultilevel"/>
    <w:tmpl w:val="143EE424"/>
    <w:lvl w:ilvl="0" w:tplc="C3FEA2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0B5C"/>
    <w:multiLevelType w:val="singleLevel"/>
    <w:tmpl w:val="A00457A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7">
    <w:nsid w:val="168A66ED"/>
    <w:multiLevelType w:val="singleLevel"/>
    <w:tmpl w:val="2DE64526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</w:abstractNum>
  <w:abstractNum w:abstractNumId="8">
    <w:nsid w:val="16FA2197"/>
    <w:multiLevelType w:val="singleLevel"/>
    <w:tmpl w:val="3CE0DA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9">
    <w:nsid w:val="172E7400"/>
    <w:multiLevelType w:val="singleLevel"/>
    <w:tmpl w:val="BBFE75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0">
    <w:nsid w:val="180A6F8C"/>
    <w:multiLevelType w:val="singleLevel"/>
    <w:tmpl w:val="85CC8B4A"/>
    <w:lvl w:ilvl="0">
      <w:start w:val="1"/>
      <w:numFmt w:val="bullet"/>
      <w:lvlText w:val="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1">
    <w:nsid w:val="1A973D3A"/>
    <w:multiLevelType w:val="singleLevel"/>
    <w:tmpl w:val="75FA6D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2">
    <w:nsid w:val="212530B1"/>
    <w:multiLevelType w:val="multilevel"/>
    <w:tmpl w:val="C7D6F846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2E442FB"/>
    <w:multiLevelType w:val="singleLevel"/>
    <w:tmpl w:val="064E30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4">
    <w:nsid w:val="2D8D306C"/>
    <w:multiLevelType w:val="singleLevel"/>
    <w:tmpl w:val="05248EB0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15">
    <w:nsid w:val="2F8A0A09"/>
    <w:multiLevelType w:val="singleLevel"/>
    <w:tmpl w:val="ED0A34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6">
    <w:nsid w:val="323A237B"/>
    <w:multiLevelType w:val="singleLevel"/>
    <w:tmpl w:val="02805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D724F5"/>
    <w:multiLevelType w:val="singleLevel"/>
    <w:tmpl w:val="7D500A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8">
    <w:nsid w:val="3EA91078"/>
    <w:multiLevelType w:val="singleLevel"/>
    <w:tmpl w:val="E830323C"/>
    <w:lvl w:ilvl="0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9">
    <w:nsid w:val="41C27042"/>
    <w:multiLevelType w:val="singleLevel"/>
    <w:tmpl w:val="9CBEAB06"/>
    <w:lvl w:ilvl="0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20">
    <w:nsid w:val="435A0411"/>
    <w:multiLevelType w:val="singleLevel"/>
    <w:tmpl w:val="AB3A3F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1">
    <w:nsid w:val="4468189C"/>
    <w:multiLevelType w:val="singleLevel"/>
    <w:tmpl w:val="FF02A29A"/>
    <w:lvl w:ilvl="0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22">
    <w:nsid w:val="451875AE"/>
    <w:multiLevelType w:val="singleLevel"/>
    <w:tmpl w:val="21066B8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3">
    <w:nsid w:val="54D24ECB"/>
    <w:multiLevelType w:val="singleLevel"/>
    <w:tmpl w:val="116EF7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4">
    <w:nsid w:val="59C3479B"/>
    <w:multiLevelType w:val="singleLevel"/>
    <w:tmpl w:val="5BAC64D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25">
    <w:nsid w:val="5D204E1C"/>
    <w:multiLevelType w:val="multilevel"/>
    <w:tmpl w:val="5F4AFE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193222E"/>
    <w:multiLevelType w:val="singleLevel"/>
    <w:tmpl w:val="3E34D35A"/>
    <w:lvl w:ilvl="0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27">
    <w:nsid w:val="667D0430"/>
    <w:multiLevelType w:val="singleLevel"/>
    <w:tmpl w:val="123E4F6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</w:lvl>
  </w:abstractNum>
  <w:abstractNum w:abstractNumId="28">
    <w:nsid w:val="69010B47"/>
    <w:multiLevelType w:val="multilevel"/>
    <w:tmpl w:val="AB86BEE4"/>
    <w:lvl w:ilvl="0">
      <w:start w:val="1"/>
      <w:numFmt w:val="bullet"/>
      <w:lvlText w:val="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6E003870"/>
    <w:multiLevelType w:val="singleLevel"/>
    <w:tmpl w:val="BBFE75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0">
    <w:nsid w:val="6F211D09"/>
    <w:multiLevelType w:val="singleLevel"/>
    <w:tmpl w:val="BBFE75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31">
    <w:nsid w:val="777F223C"/>
    <w:multiLevelType w:val="hybridMultilevel"/>
    <w:tmpl w:val="4268FABE"/>
    <w:lvl w:ilvl="0" w:tplc="F70E5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ECAAB4">
      <w:start w:val="129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Warnock Pro Subhead" w:hAnsi="Warnock Pro Subhead" w:hint="default"/>
      </w:rPr>
    </w:lvl>
    <w:lvl w:ilvl="2" w:tplc="377ACB8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A361B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3E5F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43C3F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22B1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6E6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2C65B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FE135B1"/>
    <w:multiLevelType w:val="singleLevel"/>
    <w:tmpl w:val="E3586174"/>
    <w:lvl w:ilvl="0">
      <w:start w:val="1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32"/>
  </w:num>
  <w:num w:numId="5">
    <w:abstractNumId w:val="7"/>
  </w:num>
  <w:num w:numId="6">
    <w:abstractNumId w:val="1"/>
  </w:num>
  <w:num w:numId="7">
    <w:abstractNumId w:val="6"/>
  </w:num>
  <w:num w:numId="8">
    <w:abstractNumId w:val="21"/>
  </w:num>
  <w:num w:numId="9">
    <w:abstractNumId w:val="10"/>
  </w:num>
  <w:num w:numId="10">
    <w:abstractNumId w:val="2"/>
  </w:num>
  <w:num w:numId="11">
    <w:abstractNumId w:val="23"/>
  </w:num>
  <w:num w:numId="12">
    <w:abstractNumId w:val="8"/>
  </w:num>
  <w:num w:numId="13">
    <w:abstractNumId w:val="29"/>
  </w:num>
  <w:num w:numId="14">
    <w:abstractNumId w:val="30"/>
  </w:num>
  <w:num w:numId="15">
    <w:abstractNumId w:val="9"/>
  </w:num>
  <w:num w:numId="16">
    <w:abstractNumId w:val="13"/>
  </w:num>
  <w:num w:numId="17">
    <w:abstractNumId w:val="15"/>
  </w:num>
  <w:num w:numId="18">
    <w:abstractNumId w:val="17"/>
  </w:num>
  <w:num w:numId="19">
    <w:abstractNumId w:val="22"/>
  </w:num>
  <w:num w:numId="20">
    <w:abstractNumId w:val="18"/>
  </w:num>
  <w:num w:numId="21">
    <w:abstractNumId w:val="27"/>
  </w:num>
  <w:num w:numId="22">
    <w:abstractNumId w:val="20"/>
  </w:num>
  <w:num w:numId="23">
    <w:abstractNumId w:val="11"/>
  </w:num>
  <w:num w:numId="24">
    <w:abstractNumId w:val="26"/>
  </w:num>
  <w:num w:numId="25">
    <w:abstractNumId w:val="14"/>
  </w:num>
  <w:num w:numId="26">
    <w:abstractNumId w:val="12"/>
  </w:num>
  <w:num w:numId="27">
    <w:abstractNumId w:val="25"/>
  </w:num>
  <w:num w:numId="28">
    <w:abstractNumId w:val="28"/>
  </w:num>
  <w:num w:numId="29">
    <w:abstractNumId w:val="4"/>
  </w:num>
  <w:num w:numId="30">
    <w:abstractNumId w:val="3"/>
  </w:num>
  <w:num w:numId="31">
    <w:abstractNumId w:val="5"/>
  </w:num>
  <w:num w:numId="32">
    <w:abstractNumId w:val="0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docVars>
    <w:docVar w:name="BaggrundsTekst" w:val="Kopi"/>
    <w:docVar w:name="Kolonne1" w:val="280"/>
    <w:docVar w:name="Kolonne2" w:val="80"/>
    <w:docVar w:name="Kolonne3" w:val="80"/>
  </w:docVars>
  <w:rsids>
    <w:rsidRoot w:val="008D4F67"/>
    <w:rsid w:val="00004A63"/>
    <w:rsid w:val="00013FA5"/>
    <w:rsid w:val="00074FA7"/>
    <w:rsid w:val="00076CD0"/>
    <w:rsid w:val="000774E2"/>
    <w:rsid w:val="000813D5"/>
    <w:rsid w:val="000B7AC1"/>
    <w:rsid w:val="000D1953"/>
    <w:rsid w:val="000D1B5F"/>
    <w:rsid w:val="000D27A6"/>
    <w:rsid w:val="000E0EDC"/>
    <w:rsid w:val="0012263D"/>
    <w:rsid w:val="00136337"/>
    <w:rsid w:val="00143E15"/>
    <w:rsid w:val="00153D3A"/>
    <w:rsid w:val="00161F9D"/>
    <w:rsid w:val="00174873"/>
    <w:rsid w:val="00175DF8"/>
    <w:rsid w:val="00182356"/>
    <w:rsid w:val="001E645A"/>
    <w:rsid w:val="001F4021"/>
    <w:rsid w:val="00207B76"/>
    <w:rsid w:val="0023678B"/>
    <w:rsid w:val="002369DF"/>
    <w:rsid w:val="002376E8"/>
    <w:rsid w:val="00262492"/>
    <w:rsid w:val="0029247A"/>
    <w:rsid w:val="002D0426"/>
    <w:rsid w:val="003239DA"/>
    <w:rsid w:val="00355545"/>
    <w:rsid w:val="003734ED"/>
    <w:rsid w:val="003C4C8A"/>
    <w:rsid w:val="003D6D4B"/>
    <w:rsid w:val="003E0C38"/>
    <w:rsid w:val="003E4289"/>
    <w:rsid w:val="003F0C54"/>
    <w:rsid w:val="00482800"/>
    <w:rsid w:val="00490507"/>
    <w:rsid w:val="004B15D6"/>
    <w:rsid w:val="004D4FF6"/>
    <w:rsid w:val="0052373B"/>
    <w:rsid w:val="005320E2"/>
    <w:rsid w:val="00534318"/>
    <w:rsid w:val="00546062"/>
    <w:rsid w:val="005750F9"/>
    <w:rsid w:val="005A2ACF"/>
    <w:rsid w:val="005C117F"/>
    <w:rsid w:val="00601BB8"/>
    <w:rsid w:val="0063233D"/>
    <w:rsid w:val="006C3470"/>
    <w:rsid w:val="006D5D46"/>
    <w:rsid w:val="006F0B1C"/>
    <w:rsid w:val="006F160C"/>
    <w:rsid w:val="006F285A"/>
    <w:rsid w:val="00714580"/>
    <w:rsid w:val="00732EAE"/>
    <w:rsid w:val="00757400"/>
    <w:rsid w:val="007621E9"/>
    <w:rsid w:val="007F0448"/>
    <w:rsid w:val="008374F3"/>
    <w:rsid w:val="008431DA"/>
    <w:rsid w:val="00854C11"/>
    <w:rsid w:val="00861B9F"/>
    <w:rsid w:val="008803CD"/>
    <w:rsid w:val="0089092F"/>
    <w:rsid w:val="008B0212"/>
    <w:rsid w:val="008C7581"/>
    <w:rsid w:val="008D2ED6"/>
    <w:rsid w:val="008D4F67"/>
    <w:rsid w:val="008F054E"/>
    <w:rsid w:val="00903C2E"/>
    <w:rsid w:val="00906764"/>
    <w:rsid w:val="009C1702"/>
    <w:rsid w:val="009C6657"/>
    <w:rsid w:val="00A739E5"/>
    <w:rsid w:val="00AD6806"/>
    <w:rsid w:val="00B17F7C"/>
    <w:rsid w:val="00B32BB3"/>
    <w:rsid w:val="00B331C0"/>
    <w:rsid w:val="00B87E48"/>
    <w:rsid w:val="00BC5396"/>
    <w:rsid w:val="00C07C76"/>
    <w:rsid w:val="00C32665"/>
    <w:rsid w:val="00C462EE"/>
    <w:rsid w:val="00C72B0C"/>
    <w:rsid w:val="00D0183E"/>
    <w:rsid w:val="00D137B1"/>
    <w:rsid w:val="00D72463"/>
    <w:rsid w:val="00D872F9"/>
    <w:rsid w:val="00D9233B"/>
    <w:rsid w:val="00DB5349"/>
    <w:rsid w:val="00DB7BAC"/>
    <w:rsid w:val="00DC03CE"/>
    <w:rsid w:val="00E046F9"/>
    <w:rsid w:val="00E553F0"/>
    <w:rsid w:val="00E87000"/>
    <w:rsid w:val="00EB5A55"/>
    <w:rsid w:val="00F756BB"/>
    <w:rsid w:val="00FF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356"/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1823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82356"/>
    <w:pPr>
      <w:keepNext/>
      <w:outlineLvl w:val="1"/>
    </w:pPr>
    <w:rPr>
      <w:rFonts w:ascii="Officina Sans" w:hAnsi="Officina Sans"/>
      <w:b/>
      <w:sz w:val="19"/>
    </w:rPr>
  </w:style>
  <w:style w:type="paragraph" w:styleId="Overskrift3">
    <w:name w:val="heading 3"/>
    <w:basedOn w:val="Normal"/>
    <w:next w:val="Normal"/>
    <w:qFormat/>
    <w:rsid w:val="00182356"/>
    <w:pPr>
      <w:keepNext/>
      <w:outlineLvl w:val="2"/>
    </w:pPr>
    <w:rPr>
      <w:rFonts w:ascii="Officina Sans" w:hAnsi="Officina Sans"/>
      <w:b/>
      <w:sz w:val="18"/>
    </w:rPr>
  </w:style>
  <w:style w:type="paragraph" w:styleId="Overskrift4">
    <w:name w:val="heading 4"/>
    <w:basedOn w:val="Normal"/>
    <w:next w:val="Normal"/>
    <w:qFormat/>
    <w:rsid w:val="00182356"/>
    <w:pPr>
      <w:keepNext/>
      <w:spacing w:before="240" w:after="60"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8235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8235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182356"/>
  </w:style>
  <w:style w:type="paragraph" w:styleId="Listeafsnit">
    <w:name w:val="List Paragraph"/>
    <w:basedOn w:val="Normal"/>
    <w:uiPriority w:val="34"/>
    <w:qFormat/>
    <w:rsid w:val="009C6657"/>
    <w:pPr>
      <w:ind w:left="720"/>
      <w:contextualSpacing/>
    </w:pPr>
    <w:rPr>
      <w:rFonts w:eastAsiaTheme="minorHAnsi" w:cstheme="minorBidi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39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1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8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19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27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b\AppData\Roaming\Microsoft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65</TotalTime>
  <Pages>8</Pages>
  <Words>2440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18127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Bjældager</dc:creator>
  <cp:lastModifiedBy>Jakob Bjældager</cp:lastModifiedBy>
  <cp:revision>4</cp:revision>
  <cp:lastPrinted>1999-09-06T14:07:00Z</cp:lastPrinted>
  <dcterms:created xsi:type="dcterms:W3CDTF">2014-10-29T10:35:00Z</dcterms:created>
  <dcterms:modified xsi:type="dcterms:W3CDTF">2014-10-29T12:38:00Z</dcterms:modified>
</cp:coreProperties>
</file>