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77C0" w:rsidRDefault="00B377C0" w:rsidP="00B377C0">
      <w:pPr>
        <w:jc w:val="center"/>
      </w:pPr>
    </w:p>
    <w:p w:rsidR="00B377C0" w:rsidRDefault="00B377C0" w:rsidP="00B377C0"/>
    <w:p w:rsidR="00B377C0" w:rsidRDefault="00B377C0" w:rsidP="00B377C0"/>
    <w:p w:rsidR="00B377C0" w:rsidRPr="004E350C" w:rsidRDefault="00B377C0" w:rsidP="00B377C0">
      <w:pPr>
        <w:jc w:val="center"/>
        <w:rPr>
          <w:sz w:val="28"/>
          <w:szCs w:val="28"/>
        </w:rPr>
      </w:pPr>
      <w:r w:rsidRPr="004E350C">
        <w:rPr>
          <w:sz w:val="28"/>
          <w:szCs w:val="28"/>
        </w:rPr>
        <w:t xml:space="preserve">Kommissorium for samarbejde </w:t>
      </w:r>
      <w:r>
        <w:rPr>
          <w:sz w:val="28"/>
          <w:szCs w:val="28"/>
        </w:rPr>
        <w:t>om</w:t>
      </w:r>
      <w:r w:rsidRPr="004E350C">
        <w:rPr>
          <w:sz w:val="28"/>
          <w:szCs w:val="28"/>
        </w:rPr>
        <w:t xml:space="preserve"> hjemfaldsklausuler</w:t>
      </w:r>
    </w:p>
    <w:p w:rsidR="00B377C0" w:rsidRDefault="00B377C0" w:rsidP="00B377C0"/>
    <w:p w:rsidR="00B377C0" w:rsidRPr="004E350C" w:rsidRDefault="00B377C0" w:rsidP="00B377C0">
      <w:pPr>
        <w:rPr>
          <w:i/>
        </w:rPr>
      </w:pPr>
      <w:r>
        <w:rPr>
          <w:i/>
        </w:rPr>
        <w:t>Indledning</w:t>
      </w:r>
    </w:p>
    <w:p w:rsidR="00B377C0" w:rsidRDefault="00B377C0" w:rsidP="00B377C0">
      <w:r>
        <w:t>Mellem følgende kommuner indgås der hermed aftale om samarbejde vedr. hjemfaldsklausuler:</w:t>
      </w:r>
    </w:p>
    <w:p w:rsidR="00B377C0" w:rsidRDefault="00B377C0" w:rsidP="00B377C0">
      <w:pPr>
        <w:pStyle w:val="Listeafsnit"/>
        <w:numPr>
          <w:ilvl w:val="0"/>
          <w:numId w:val="1"/>
        </w:numPr>
      </w:pPr>
      <w:r>
        <w:t>København</w:t>
      </w:r>
    </w:p>
    <w:p w:rsidR="00B377C0" w:rsidRDefault="00B377C0" w:rsidP="00B377C0">
      <w:pPr>
        <w:pStyle w:val="Listeafsnit"/>
        <w:numPr>
          <w:ilvl w:val="0"/>
          <w:numId w:val="1"/>
        </w:numPr>
      </w:pPr>
      <w:r>
        <w:t xml:space="preserve">Hvidovre </w:t>
      </w:r>
    </w:p>
    <w:p w:rsidR="00B377C0" w:rsidRDefault="00B377C0" w:rsidP="00B377C0">
      <w:pPr>
        <w:pStyle w:val="Listeafsnit"/>
        <w:numPr>
          <w:ilvl w:val="0"/>
          <w:numId w:val="1"/>
        </w:numPr>
      </w:pPr>
      <w:r>
        <w:t xml:space="preserve">Ballerup </w:t>
      </w:r>
    </w:p>
    <w:p w:rsidR="00B377C0" w:rsidRDefault="00B377C0" w:rsidP="00B377C0">
      <w:pPr>
        <w:pStyle w:val="Listeafsnit"/>
        <w:numPr>
          <w:ilvl w:val="0"/>
          <w:numId w:val="1"/>
        </w:numPr>
      </w:pPr>
      <w:r>
        <w:t xml:space="preserve">Brøndby </w:t>
      </w:r>
    </w:p>
    <w:p w:rsidR="00B377C0" w:rsidRDefault="00B377C0" w:rsidP="00B377C0">
      <w:pPr>
        <w:pStyle w:val="Listeafsnit"/>
        <w:numPr>
          <w:ilvl w:val="0"/>
          <w:numId w:val="1"/>
        </w:numPr>
      </w:pPr>
      <w:r>
        <w:t>Gladsaxe</w:t>
      </w:r>
    </w:p>
    <w:p w:rsidR="00B377C0" w:rsidRDefault="00B377C0" w:rsidP="00B377C0">
      <w:pPr>
        <w:pStyle w:val="Listeafsnit"/>
        <w:numPr>
          <w:ilvl w:val="0"/>
          <w:numId w:val="1"/>
        </w:numPr>
      </w:pPr>
      <w:r>
        <w:t>Lyngby-T</w:t>
      </w:r>
      <w:r w:rsidR="000D4164">
        <w:t>aa</w:t>
      </w:r>
      <w:r>
        <w:t>rbæk</w:t>
      </w:r>
    </w:p>
    <w:p w:rsidR="00B377C0" w:rsidRDefault="00B377C0" w:rsidP="00B377C0">
      <w:pPr>
        <w:pStyle w:val="Listeafsnit"/>
        <w:numPr>
          <w:ilvl w:val="0"/>
          <w:numId w:val="1"/>
        </w:numPr>
      </w:pPr>
      <w:r>
        <w:t>Rødovre</w:t>
      </w:r>
    </w:p>
    <w:p w:rsidR="00B377C0" w:rsidRDefault="00B377C0" w:rsidP="00B377C0">
      <w:pPr>
        <w:pStyle w:val="Listeafsnit"/>
        <w:numPr>
          <w:ilvl w:val="0"/>
          <w:numId w:val="1"/>
        </w:numPr>
      </w:pPr>
      <w:r>
        <w:t>Herlev</w:t>
      </w:r>
    </w:p>
    <w:p w:rsidR="00B377C0" w:rsidRDefault="00B377C0" w:rsidP="00B377C0">
      <w:pPr>
        <w:pStyle w:val="Listeafsnit"/>
        <w:numPr>
          <w:ilvl w:val="0"/>
          <w:numId w:val="1"/>
        </w:numPr>
      </w:pPr>
      <w:r>
        <w:t>Glostrup</w:t>
      </w:r>
    </w:p>
    <w:p w:rsidR="00B377C0" w:rsidRDefault="00B377C0" w:rsidP="00B377C0"/>
    <w:p w:rsidR="00B377C0" w:rsidRPr="00946A6D" w:rsidRDefault="00B377C0" w:rsidP="00B377C0">
      <w:pPr>
        <w:rPr>
          <w:i/>
        </w:rPr>
      </w:pPr>
      <w:r>
        <w:rPr>
          <w:i/>
        </w:rPr>
        <w:t>Baggrund</w:t>
      </w:r>
    </w:p>
    <w:p w:rsidR="00B377C0" w:rsidRDefault="00B377C0" w:rsidP="00B377C0">
      <w:r>
        <w:t>På en række almene boligafdelinger i kommunerne er der tinglyst servitut om tilbagekøbsret. Tilbagekøbstidspunkterne ligger mellem 2036 og 2077, og er problematisk i forbindelse med realkreditbelåning af ejendommene, da hjemfaldspligten afspejles i fastlæggelse af belåningsværdien, som reducerer lånemulighederne og forøger kommunernes garantiforpligtigelse. Desuden stilles der krav om at lånets løbetid, på normalt 30 år, skal være tilendebragt før hjemfaldstidspunktet.</w:t>
      </w:r>
    </w:p>
    <w:p w:rsidR="00B377C0" w:rsidRDefault="00B377C0" w:rsidP="00B377C0"/>
    <w:p w:rsidR="00B377C0" w:rsidRDefault="00B377C0" w:rsidP="00B377C0">
      <w:r>
        <w:t>Der har været afholdt en række møder blandt de berørte kommuner, hvor håndtering af hjemfaldsklausuler er blevet drøftet. I forlængelse heraf skal der hermed fastsættes et kommissorium for det videre samarbejde.</w:t>
      </w:r>
    </w:p>
    <w:p w:rsidR="00B377C0" w:rsidRDefault="00B377C0" w:rsidP="00B377C0"/>
    <w:p w:rsidR="00B377C0" w:rsidRDefault="00B377C0" w:rsidP="00B377C0">
      <w:pPr>
        <w:rPr>
          <w:i/>
        </w:rPr>
      </w:pPr>
      <w:r>
        <w:rPr>
          <w:i/>
        </w:rPr>
        <w:t>Formål</w:t>
      </w:r>
    </w:p>
    <w:p w:rsidR="00B377C0" w:rsidRPr="005F534C" w:rsidRDefault="00B377C0" w:rsidP="00B377C0">
      <w:r>
        <w:t>Det er hensigten at belyse mulige frikøbsordninger og på denne baggrund indgå en samlet aftale om frikøb mellem de deltagende kommuner og de berørte boligorganisationer.</w:t>
      </w:r>
    </w:p>
    <w:p w:rsidR="00B377C0" w:rsidRDefault="00B377C0" w:rsidP="00B377C0"/>
    <w:p w:rsidR="00B377C0" w:rsidRDefault="00B377C0" w:rsidP="00B377C0">
      <w:pPr>
        <w:rPr>
          <w:i/>
        </w:rPr>
      </w:pPr>
      <w:r>
        <w:rPr>
          <w:i/>
        </w:rPr>
        <w:t>Samarbejdets organisering</w:t>
      </w:r>
    </w:p>
    <w:p w:rsidR="00B377C0" w:rsidRPr="001074CB" w:rsidRDefault="00B377C0" w:rsidP="00B377C0">
      <w:pPr>
        <w:rPr>
          <w:u w:val="single"/>
        </w:rPr>
      </w:pPr>
      <w:r>
        <w:rPr>
          <w:u w:val="single"/>
        </w:rPr>
        <w:t>Politisk styregruppe</w:t>
      </w:r>
    </w:p>
    <w:p w:rsidR="00B377C0" w:rsidRDefault="00B377C0" w:rsidP="00B377C0">
      <w:r>
        <w:t>Samarbejdet varetages af en politisk styregruppe bestående af kommunernes borgmestre med Hvidovre Kommunes borgmester som formand</w:t>
      </w:r>
      <w:r w:rsidR="001E1918">
        <w:t xml:space="preserve"> indtil andet evt. besluttes i styregruppen</w:t>
      </w:r>
      <w:r>
        <w:t xml:space="preserve">. Den politiske styregruppe har til opgave at følge sagen og træffer beslutninger efter indstilling fra den administrative styregruppe. </w:t>
      </w:r>
    </w:p>
    <w:p w:rsidR="00B377C0" w:rsidRPr="003C4A8D" w:rsidRDefault="00B377C0" w:rsidP="00B377C0"/>
    <w:p w:rsidR="00B377C0" w:rsidRPr="001074CB" w:rsidRDefault="00B377C0" w:rsidP="00B377C0">
      <w:pPr>
        <w:rPr>
          <w:u w:val="single"/>
        </w:rPr>
      </w:pPr>
      <w:r>
        <w:rPr>
          <w:u w:val="single"/>
        </w:rPr>
        <w:t>Administrativ styregruppe</w:t>
      </w:r>
    </w:p>
    <w:p w:rsidR="00B377C0" w:rsidRDefault="00B377C0" w:rsidP="00B377C0">
      <w:r>
        <w:t xml:space="preserve">Der nedsættes en administrativ styregruppe bestående af den samlede kreds af kommuner repræsenteret ved respektive direktioner. Den administrative styregruppe træffer beslutninger om samarbejdet, behandler oplæg fra forhandlingsudvalget og indstiller beslutninger til den politiske styregruppe. </w:t>
      </w:r>
    </w:p>
    <w:p w:rsidR="00B377C0" w:rsidRPr="00A36ACB" w:rsidRDefault="00B377C0" w:rsidP="00B377C0"/>
    <w:p w:rsidR="00B377C0" w:rsidRPr="001074CB" w:rsidRDefault="00B377C0" w:rsidP="00B377C0">
      <w:pPr>
        <w:rPr>
          <w:u w:val="single"/>
        </w:rPr>
      </w:pPr>
      <w:r>
        <w:rPr>
          <w:u w:val="single"/>
        </w:rPr>
        <w:t>Forhandlingsudvalg</w:t>
      </w:r>
    </w:p>
    <w:p w:rsidR="00B377C0" w:rsidRDefault="00B377C0" w:rsidP="00B377C0">
      <w:r>
        <w:t xml:space="preserve">Til at forestå kontakten til og forhandlinger med berørte boligorganisationer, Boligorganisationernes Landsorganisation, Landsbyggefonden samt eventuelt andre interessenter, nedsættes et forhandlingsudvalg. Forhandlingsudvalget består af Københavns Kommune, Lyngby Taarbæk Kommune, Herlev Kommune og Hvidovre Kommune repræsenteret ved respektive direktioner. </w:t>
      </w:r>
      <w:r>
        <w:lastRenderedPageBreak/>
        <w:t>Forhandlingsudvalget har endvidere til opgave at udføre de beslutninger om samarbejdet, som fastlægges i den administrative styregruppe.</w:t>
      </w:r>
    </w:p>
    <w:p w:rsidR="00B377C0" w:rsidRDefault="00B377C0" w:rsidP="00B377C0"/>
    <w:p w:rsidR="00B377C0" w:rsidRDefault="00B377C0" w:rsidP="00B377C0">
      <w:r>
        <w:t>Møder afholdes efter behov.</w:t>
      </w:r>
    </w:p>
    <w:p w:rsidR="00B377C0" w:rsidRDefault="00B377C0" w:rsidP="00B377C0"/>
    <w:p w:rsidR="00905A5D" w:rsidRDefault="00B377C0" w:rsidP="00B377C0">
      <w:r>
        <w:t>Sekretariatsfunktionen varetages af</w:t>
      </w:r>
      <w:r w:rsidR="00905A5D">
        <w:t xml:space="preserve"> et medlem af forhandlingsudvalget, indtil videre</w:t>
      </w:r>
      <w:r>
        <w:t xml:space="preserve"> Hvidovre Kommune. </w:t>
      </w:r>
      <w:r w:rsidR="00982D3F">
        <w:t>Sekretariatsarbejdet opgøres på timebasis og u</w:t>
      </w:r>
      <w:r>
        <w:t>dgifter hertil</w:t>
      </w:r>
      <w:r w:rsidR="00905A5D">
        <w:t xml:space="preserve"> afholdes af deltagende kommuner i forhold til frikøbsbeløb</w:t>
      </w:r>
      <w:r w:rsidR="00982D3F">
        <w:t>.</w:t>
      </w:r>
      <w:r w:rsidR="00905A5D">
        <w:t>.</w:t>
      </w:r>
      <w:r w:rsidR="00F22F45">
        <w:rPr>
          <w:rStyle w:val="Fodnotehenvisning"/>
        </w:rPr>
        <w:footnoteReference w:id="1"/>
      </w:r>
      <w:r>
        <w:t xml:space="preserve"> </w:t>
      </w:r>
    </w:p>
    <w:p w:rsidR="00905A5D" w:rsidRDefault="00905A5D" w:rsidP="00B377C0"/>
    <w:p w:rsidR="00B377C0" w:rsidRDefault="00B377C0" w:rsidP="00B377C0">
      <w:r>
        <w:t>Den administrative styregruppe eller forhandlingsudvalget kan nedsætte arbejdsgrupper. De deltagende kommuner deltager med relevante embedsmænd til arbejdsgrupperne.</w:t>
      </w:r>
    </w:p>
    <w:p w:rsidR="00B377C0" w:rsidRDefault="00B377C0" w:rsidP="00B377C0"/>
    <w:p w:rsidR="00B377C0" w:rsidRDefault="00B377C0" w:rsidP="00B377C0">
      <w:pPr>
        <w:rPr>
          <w:i/>
        </w:rPr>
      </w:pPr>
      <w:r>
        <w:rPr>
          <w:i/>
        </w:rPr>
        <w:t>Samarbejdets faser</w:t>
      </w:r>
    </w:p>
    <w:p w:rsidR="00B377C0" w:rsidRDefault="00B377C0" w:rsidP="00B377C0">
      <w:r>
        <w:t>Det videre arbejde opdeles i følgende faser:</w:t>
      </w:r>
    </w:p>
    <w:p w:rsidR="00B377C0" w:rsidRDefault="00B377C0" w:rsidP="00B377C0"/>
    <w:p w:rsidR="00B377C0" w:rsidRDefault="00B377C0" w:rsidP="00B377C0">
      <w:r>
        <w:rPr>
          <w:u w:val="single"/>
        </w:rPr>
        <w:t>Fase 1</w:t>
      </w:r>
      <w:r>
        <w:t xml:space="preserve"> </w:t>
      </w:r>
    </w:p>
    <w:p w:rsidR="00B377C0" w:rsidRDefault="00B377C0" w:rsidP="00B377C0">
      <w:r>
        <w:t>De foreliggende data kvalitetssikres, opdateres i fornødent omfang, og godkendes i de enkelte kommuner.</w:t>
      </w:r>
    </w:p>
    <w:p w:rsidR="00B377C0" w:rsidRDefault="00B377C0" w:rsidP="00B377C0"/>
    <w:p w:rsidR="00B377C0" w:rsidRDefault="00B377C0" w:rsidP="00B377C0">
      <w:r>
        <w:t>Der udarbejdes en tidsplan for det videre arbejde.</w:t>
      </w:r>
    </w:p>
    <w:p w:rsidR="00B377C0" w:rsidRDefault="00B377C0" w:rsidP="00B377C0"/>
    <w:p w:rsidR="00B377C0" w:rsidRDefault="00B377C0" w:rsidP="00B377C0">
      <w:r>
        <w:t>Der udarbejdes oplæg til beslutning i respektive kommunalbestyrelser om samarbejdet.</w:t>
      </w:r>
    </w:p>
    <w:p w:rsidR="00B377C0" w:rsidRDefault="00B377C0" w:rsidP="00B377C0"/>
    <w:p w:rsidR="00B377C0" w:rsidRDefault="00B377C0" w:rsidP="00B377C0">
      <w:r>
        <w:t>Fase 1 forventes afsluttet ultimo marts 2014.</w:t>
      </w:r>
    </w:p>
    <w:p w:rsidR="00B377C0" w:rsidRDefault="00B377C0" w:rsidP="00B377C0"/>
    <w:p w:rsidR="00B377C0" w:rsidRDefault="00B377C0" w:rsidP="00B377C0">
      <w:pPr>
        <w:rPr>
          <w:u w:val="single"/>
        </w:rPr>
      </w:pPr>
      <w:r>
        <w:rPr>
          <w:u w:val="single"/>
        </w:rPr>
        <w:t>Fase 2</w:t>
      </w:r>
    </w:p>
    <w:p w:rsidR="00B377C0" w:rsidRDefault="00B377C0" w:rsidP="00B377C0">
      <w:r>
        <w:t>På baggrund af modeller for mulige frikøbsordninger foretages økonomiske konsekvensberegninger for boligorganisationerne, herunder lejerne i de enkelte afdelinger, og kommunerne, som skal danne grundlag for fastsættelse af et forhandlingsmandat.</w:t>
      </w:r>
    </w:p>
    <w:p w:rsidR="00B377C0" w:rsidRDefault="00B377C0" w:rsidP="00B377C0">
      <w:r>
        <w:t xml:space="preserve"> </w:t>
      </w:r>
    </w:p>
    <w:p w:rsidR="00B377C0" w:rsidRDefault="00B377C0" w:rsidP="00B377C0">
      <w:r>
        <w:t>Der udarbejdes oplæg til beslutning</w:t>
      </w:r>
      <w:r w:rsidRPr="003F530E">
        <w:t xml:space="preserve"> </w:t>
      </w:r>
      <w:r>
        <w:t>i respektive kommunalbestyrelser om rammerne for mulige aftaler for en frikøbsaftale, hvor borgmestrene bemyndiges til at indgå forhandlinger på kommunalbestyrelsernes vegne.</w:t>
      </w:r>
    </w:p>
    <w:p w:rsidR="00B377C0" w:rsidRDefault="00B377C0" w:rsidP="00B377C0"/>
    <w:p w:rsidR="00B377C0" w:rsidRDefault="00B377C0" w:rsidP="00B377C0">
      <w:r>
        <w:t>Forhandlingsudvalgets mandat fastlægges i den politiske styregruppe.</w:t>
      </w:r>
    </w:p>
    <w:p w:rsidR="00B377C0" w:rsidRDefault="00B377C0" w:rsidP="00B377C0"/>
    <w:p w:rsidR="00B377C0" w:rsidRDefault="00B377C0" w:rsidP="00B377C0">
      <w:pPr>
        <w:rPr>
          <w:u w:val="single"/>
        </w:rPr>
      </w:pPr>
      <w:r>
        <w:rPr>
          <w:u w:val="single"/>
        </w:rPr>
        <w:t>Fase 3</w:t>
      </w:r>
    </w:p>
    <w:p w:rsidR="00B377C0" w:rsidRDefault="00B377C0" w:rsidP="00B377C0">
      <w:r>
        <w:t>Forhandling om aftale.</w:t>
      </w:r>
    </w:p>
    <w:p w:rsidR="00B377C0" w:rsidRDefault="00B377C0" w:rsidP="00B377C0"/>
    <w:p w:rsidR="00B377C0" w:rsidRDefault="00B377C0" w:rsidP="00B377C0">
      <w:pPr>
        <w:rPr>
          <w:u w:val="single"/>
        </w:rPr>
      </w:pPr>
      <w:r>
        <w:rPr>
          <w:u w:val="single"/>
        </w:rPr>
        <w:t>Fase 4</w:t>
      </w:r>
    </w:p>
    <w:p w:rsidR="00B377C0" w:rsidRDefault="00B377C0" w:rsidP="00B377C0">
      <w:r>
        <w:t>Godkendelse af aftale i den politiske styregruppe og efterfølgende godkendelse i de respektive kommunalbestyrelser.</w:t>
      </w:r>
    </w:p>
    <w:p w:rsidR="00B377C0" w:rsidRDefault="00B377C0" w:rsidP="00B377C0"/>
    <w:p w:rsidR="00B377C0" w:rsidRDefault="00B377C0" w:rsidP="00B377C0">
      <w:r>
        <w:t>Indgåelse af aftale.</w:t>
      </w:r>
    </w:p>
    <w:p w:rsidR="00B377C0" w:rsidRDefault="00B377C0" w:rsidP="00B377C0"/>
    <w:p w:rsidR="00B377C0" w:rsidRDefault="00B377C0" w:rsidP="00B377C0">
      <w:pPr>
        <w:rPr>
          <w:i/>
        </w:rPr>
      </w:pPr>
      <w:r>
        <w:rPr>
          <w:i/>
        </w:rPr>
        <w:t>Samarbejdets karakter</w:t>
      </w:r>
    </w:p>
    <w:p w:rsidR="00B377C0" w:rsidRDefault="00B377C0" w:rsidP="00B377C0"/>
    <w:p w:rsidR="00B377C0" w:rsidRDefault="00B377C0" w:rsidP="00B377C0">
      <w:r>
        <w:t xml:space="preserve">Hver deltagende kommune kan umiddelbart udtræde af samarbejdet, hvorefter pågældende kommune ikke vil være omfattet af den aftale der indgås. </w:t>
      </w:r>
    </w:p>
    <w:p w:rsidR="00B377C0" w:rsidRDefault="00B377C0" w:rsidP="00B377C0"/>
    <w:p w:rsidR="00B377C0" w:rsidRPr="00E55D50" w:rsidRDefault="00B377C0" w:rsidP="00B377C0">
      <w:r>
        <w:t>Aftalen er ikke omfattet af § 60 i</w:t>
      </w:r>
      <w:r w:rsidR="004325F1">
        <w:t xml:space="preserve"> lov om kommunernes styrelse.  </w:t>
      </w:r>
    </w:p>
    <w:sectPr w:rsidR="00B377C0" w:rsidRPr="00E55D50" w:rsidSect="003129B5">
      <w:headerReference w:type="default" r:id="rId8"/>
      <w:pgSz w:w="11906" w:h="16838"/>
      <w:pgMar w:top="1701" w:right="1134" w:bottom="1701"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7C40" w:rsidRDefault="00217C40" w:rsidP="00F22F45">
      <w:r>
        <w:separator/>
      </w:r>
    </w:p>
  </w:endnote>
  <w:endnote w:type="continuationSeparator" w:id="0">
    <w:p w:rsidR="00217C40" w:rsidRDefault="00217C40" w:rsidP="00F22F4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7C40" w:rsidRDefault="00217C40" w:rsidP="00F22F45">
      <w:r>
        <w:separator/>
      </w:r>
    </w:p>
  </w:footnote>
  <w:footnote w:type="continuationSeparator" w:id="0">
    <w:p w:rsidR="00217C40" w:rsidRDefault="00217C40" w:rsidP="00F22F45">
      <w:r>
        <w:continuationSeparator/>
      </w:r>
    </w:p>
  </w:footnote>
  <w:footnote w:id="1">
    <w:p w:rsidR="00F22F45" w:rsidRPr="00F22F45" w:rsidRDefault="00F22F45">
      <w:pPr>
        <w:pStyle w:val="Fodnotetekst"/>
        <w:rPr>
          <w:sz w:val="18"/>
          <w:szCs w:val="18"/>
        </w:rPr>
      </w:pPr>
      <w:r>
        <w:rPr>
          <w:rStyle w:val="Fodnotehenvisning"/>
        </w:rPr>
        <w:footnoteRef/>
      </w:r>
      <w:r>
        <w:t xml:space="preserve"> </w:t>
      </w:r>
      <w:r w:rsidRPr="00BF32C3">
        <w:rPr>
          <w:sz w:val="16"/>
          <w:szCs w:val="16"/>
        </w:rPr>
        <w:t>Den af Lyngby</w:t>
      </w:r>
      <w:r w:rsidR="000D4164">
        <w:rPr>
          <w:sz w:val="16"/>
          <w:szCs w:val="16"/>
        </w:rPr>
        <w:t>-Taarbæk</w:t>
      </w:r>
      <w:r w:rsidRPr="00BF32C3">
        <w:rPr>
          <w:sz w:val="16"/>
          <w:szCs w:val="16"/>
        </w:rPr>
        <w:t xml:space="preserve"> og Herlev afholdte udgift til indledende juridisk bistand konteres som sekretariatsudgift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5F1" w:rsidRDefault="004325F1" w:rsidP="004325F1">
    <w:pPr>
      <w:pStyle w:val="Sidehoved"/>
      <w:jc w:val="right"/>
    </w:pPr>
    <w:r>
      <w:t>Hvidovre, den 20. februar 2014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597341"/>
    <w:multiLevelType w:val="hybridMultilevel"/>
    <w:tmpl w:val="B7C0E47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proofState w:spelling="clean" w:grammar="clean"/>
  <w:defaultTabStop w:val="1304"/>
  <w:hyphenationZone w:val="425"/>
  <w:characterSpacingControl w:val="doNotCompress"/>
  <w:footnotePr>
    <w:footnote w:id="-1"/>
    <w:footnote w:id="0"/>
  </w:footnotePr>
  <w:endnotePr>
    <w:endnote w:id="-1"/>
    <w:endnote w:id="0"/>
  </w:endnotePr>
  <w:compat/>
  <w:rsids>
    <w:rsidRoot w:val="00B377C0"/>
    <w:rsid w:val="000D4164"/>
    <w:rsid w:val="001E1918"/>
    <w:rsid w:val="00217C40"/>
    <w:rsid w:val="002C4238"/>
    <w:rsid w:val="002E0A51"/>
    <w:rsid w:val="003129B5"/>
    <w:rsid w:val="004325F1"/>
    <w:rsid w:val="00442B6A"/>
    <w:rsid w:val="00511B87"/>
    <w:rsid w:val="00764C93"/>
    <w:rsid w:val="008807BB"/>
    <w:rsid w:val="00905A5D"/>
    <w:rsid w:val="00982D3F"/>
    <w:rsid w:val="00B377C0"/>
    <w:rsid w:val="00BF32C3"/>
    <w:rsid w:val="00D26619"/>
    <w:rsid w:val="00D275E4"/>
    <w:rsid w:val="00D74B09"/>
    <w:rsid w:val="00E46583"/>
    <w:rsid w:val="00E759DB"/>
    <w:rsid w:val="00F20759"/>
    <w:rsid w:val="00F22F45"/>
    <w:rsid w:val="00F70FE1"/>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77C0"/>
    <w:pPr>
      <w:spacing w:after="0" w:line="240" w:lineRule="auto"/>
    </w:pPr>
    <w:rPr>
      <w:rFonts w:ascii="Arial" w:hAnsi="Arial"/>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B377C0"/>
    <w:pPr>
      <w:ind w:left="720"/>
      <w:contextualSpacing/>
    </w:pPr>
  </w:style>
  <w:style w:type="paragraph" w:styleId="Fodnotetekst">
    <w:name w:val="footnote text"/>
    <w:basedOn w:val="Normal"/>
    <w:link w:val="FodnotetekstTegn"/>
    <w:uiPriority w:val="99"/>
    <w:semiHidden/>
    <w:unhideWhenUsed/>
    <w:rsid w:val="00F22F45"/>
    <w:rPr>
      <w:sz w:val="20"/>
      <w:szCs w:val="20"/>
    </w:rPr>
  </w:style>
  <w:style w:type="character" w:customStyle="1" w:styleId="FodnotetekstTegn">
    <w:name w:val="Fodnotetekst Tegn"/>
    <w:basedOn w:val="Standardskrifttypeiafsnit"/>
    <w:link w:val="Fodnotetekst"/>
    <w:uiPriority w:val="99"/>
    <w:semiHidden/>
    <w:rsid w:val="00F22F45"/>
    <w:rPr>
      <w:rFonts w:ascii="Arial" w:hAnsi="Arial"/>
      <w:sz w:val="20"/>
      <w:szCs w:val="20"/>
    </w:rPr>
  </w:style>
  <w:style w:type="character" w:styleId="Fodnotehenvisning">
    <w:name w:val="footnote reference"/>
    <w:basedOn w:val="Standardskrifttypeiafsnit"/>
    <w:uiPriority w:val="99"/>
    <w:semiHidden/>
    <w:unhideWhenUsed/>
    <w:rsid w:val="00F22F45"/>
    <w:rPr>
      <w:vertAlign w:val="superscript"/>
    </w:rPr>
  </w:style>
  <w:style w:type="paragraph" w:styleId="Sidehoved">
    <w:name w:val="header"/>
    <w:basedOn w:val="Normal"/>
    <w:link w:val="SidehovedTegn"/>
    <w:uiPriority w:val="99"/>
    <w:semiHidden/>
    <w:unhideWhenUsed/>
    <w:rsid w:val="004325F1"/>
    <w:pPr>
      <w:tabs>
        <w:tab w:val="center" w:pos="4819"/>
        <w:tab w:val="right" w:pos="9638"/>
      </w:tabs>
    </w:pPr>
  </w:style>
  <w:style w:type="character" w:customStyle="1" w:styleId="SidehovedTegn">
    <w:name w:val="Sidehoved Tegn"/>
    <w:basedOn w:val="Standardskrifttypeiafsnit"/>
    <w:link w:val="Sidehoved"/>
    <w:uiPriority w:val="99"/>
    <w:semiHidden/>
    <w:rsid w:val="004325F1"/>
    <w:rPr>
      <w:rFonts w:ascii="Arial" w:hAnsi="Arial"/>
    </w:rPr>
  </w:style>
  <w:style w:type="paragraph" w:styleId="Sidefod">
    <w:name w:val="footer"/>
    <w:basedOn w:val="Normal"/>
    <w:link w:val="SidefodTegn"/>
    <w:uiPriority w:val="99"/>
    <w:semiHidden/>
    <w:unhideWhenUsed/>
    <w:rsid w:val="004325F1"/>
    <w:pPr>
      <w:tabs>
        <w:tab w:val="center" w:pos="4819"/>
        <w:tab w:val="right" w:pos="9638"/>
      </w:tabs>
    </w:pPr>
  </w:style>
  <w:style w:type="character" w:customStyle="1" w:styleId="SidefodTegn">
    <w:name w:val="Sidefod Tegn"/>
    <w:basedOn w:val="Standardskrifttypeiafsnit"/>
    <w:link w:val="Sidefod"/>
    <w:uiPriority w:val="99"/>
    <w:semiHidden/>
    <w:rsid w:val="004325F1"/>
    <w:rPr>
      <w:rFonts w:ascii="Arial" w:hAnsi="Aria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E52772-5B22-4EBF-904D-0D6220322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3478</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Hvidovre Kommune</Company>
  <LinksUpToDate>false</LinksUpToDate>
  <CharactersWithSpaces>4040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kqa</dc:creator>
  <cp:lastModifiedBy>Bo Clausen</cp:lastModifiedBy>
  <cp:revision>2</cp:revision>
  <cp:lastPrinted>2014-01-27T13:24:00Z</cp:lastPrinted>
  <dcterms:created xsi:type="dcterms:W3CDTF">2014-02-26T12:31:00Z</dcterms:created>
  <dcterms:modified xsi:type="dcterms:W3CDTF">2014-02-26T12:31:00Z</dcterms:modified>
</cp:coreProperties>
</file>