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3896"/>
      </w:tblGrid>
      <w:tr w:rsidR="00A31012" w:rsidRPr="00FD0DF7" w:rsidTr="005959F7">
        <w:tc>
          <w:tcPr>
            <w:tcW w:w="4748" w:type="dxa"/>
          </w:tcPr>
          <w:p w:rsidR="00B54A03" w:rsidRDefault="00B54A03" w:rsidP="00C06EE8">
            <w:pPr>
              <w:tabs>
                <w:tab w:val="left" w:pos="851"/>
              </w:tabs>
              <w:ind w:left="851" w:hanging="851"/>
              <w:rPr>
                <w:sz w:val="16"/>
                <w:szCs w:val="16"/>
              </w:rPr>
            </w:pPr>
          </w:p>
          <w:p w:rsidR="00C06EE8" w:rsidRPr="00380FDB" w:rsidRDefault="00DF7DF6" w:rsidP="00C06EE8">
            <w:pPr>
              <w:tabs>
                <w:tab w:val="left" w:pos="851"/>
              </w:tabs>
              <w:ind w:left="851" w:hanging="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06EE8" w:rsidRPr="00380FDB">
              <w:rPr>
                <w:sz w:val="16"/>
                <w:szCs w:val="16"/>
              </w:rPr>
              <w:t>Bevillingsområde</w:t>
            </w:r>
          </w:p>
          <w:p w:rsidR="00A31012" w:rsidRPr="00C06EE8" w:rsidRDefault="00CC542E" w:rsidP="00CC542E">
            <w:pPr>
              <w:pStyle w:val="Overskrift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40.39</w:t>
            </w:r>
            <w:r w:rsidR="00B8741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Klubber og Byggelegepladser</w:t>
            </w:r>
          </w:p>
        </w:tc>
        <w:tc>
          <w:tcPr>
            <w:tcW w:w="3896" w:type="dxa"/>
          </w:tcPr>
          <w:p w:rsidR="00A31012" w:rsidRPr="00FD0DF7" w:rsidRDefault="00A31012" w:rsidP="009542B5">
            <w:pPr>
              <w:rPr>
                <w:sz w:val="16"/>
                <w:szCs w:val="16"/>
              </w:rPr>
            </w:pPr>
            <w:r w:rsidRPr="00FD0DF7">
              <w:rPr>
                <w:sz w:val="16"/>
                <w:szCs w:val="16"/>
              </w:rPr>
              <w:t>Udvalg</w:t>
            </w:r>
          </w:p>
          <w:p w:rsidR="00A31012" w:rsidRPr="00FD0DF7" w:rsidRDefault="00CC542E" w:rsidP="00B8741C">
            <w:pPr>
              <w:pStyle w:val="Overskrift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Kultur- og Fritidsudvalget</w:t>
            </w:r>
          </w:p>
        </w:tc>
      </w:tr>
    </w:tbl>
    <w:p w:rsidR="00C06EE8" w:rsidRDefault="00C06EE8" w:rsidP="00C33841">
      <w:pPr>
        <w:pStyle w:val="Overskrift"/>
      </w:pPr>
    </w:p>
    <w:p w:rsidR="009F1DBC" w:rsidRPr="00656659" w:rsidRDefault="00C06EE8" w:rsidP="00CC542E">
      <w:pPr>
        <w:pStyle w:val="Overskrift1"/>
        <w:numPr>
          <w:ilvl w:val="0"/>
          <w:numId w:val="2"/>
        </w:numPr>
        <w:ind w:left="357" w:hanging="357"/>
        <w:rPr>
          <w:rFonts w:ascii="Verdana" w:hAnsi="Verdana"/>
          <w:sz w:val="22"/>
          <w:szCs w:val="22"/>
        </w:rPr>
      </w:pPr>
      <w:bookmarkStart w:id="0" w:name="_Toc373155773"/>
      <w:r w:rsidRPr="00656659">
        <w:rPr>
          <w:rFonts w:ascii="Verdana" w:hAnsi="Verdana"/>
          <w:sz w:val="22"/>
          <w:szCs w:val="22"/>
        </w:rPr>
        <w:t>Beskrivelse af opgaver</w:t>
      </w:r>
      <w:r w:rsidR="009F1DBC" w:rsidRPr="00656659">
        <w:rPr>
          <w:rFonts w:ascii="Verdana" w:hAnsi="Verdana"/>
          <w:sz w:val="22"/>
          <w:szCs w:val="22"/>
        </w:rPr>
        <w:t xml:space="preserve"> </w:t>
      </w:r>
      <w:r w:rsidR="008A6B6F" w:rsidRPr="00656659">
        <w:rPr>
          <w:rFonts w:ascii="Verdana" w:hAnsi="Verdana"/>
          <w:sz w:val="22"/>
          <w:szCs w:val="22"/>
        </w:rPr>
        <w:t xml:space="preserve">indenfor </w:t>
      </w:r>
      <w:bookmarkEnd w:id="0"/>
      <w:r w:rsidR="00D8477C" w:rsidRPr="00656659">
        <w:rPr>
          <w:rFonts w:ascii="Verdana" w:hAnsi="Verdana"/>
          <w:sz w:val="22"/>
          <w:szCs w:val="22"/>
        </w:rPr>
        <w:t>Klubber og Byggelegepladser</w:t>
      </w:r>
      <w:r w:rsidR="00862FA2" w:rsidRPr="00656659">
        <w:rPr>
          <w:rFonts w:ascii="Verdana" w:hAnsi="Verdana"/>
          <w:sz w:val="22"/>
          <w:szCs w:val="22"/>
        </w:rPr>
        <w:t xml:space="preserve"> </w:t>
      </w:r>
    </w:p>
    <w:p w:rsidR="00D8477C" w:rsidRDefault="00D8477C" w:rsidP="00D847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henhold til dagtilbudsloven § 4 skal kommunen sørge for, at der til børn og unge er det nødvendige antal klubtilbud og andre socialpædagogiske tilbud. </w:t>
      </w:r>
    </w:p>
    <w:p w:rsidR="008C0EF3" w:rsidRDefault="008C0EF3" w:rsidP="00D8477C">
      <w:pPr>
        <w:pStyle w:val="Default"/>
        <w:rPr>
          <w:sz w:val="20"/>
          <w:szCs w:val="20"/>
        </w:rPr>
      </w:pPr>
    </w:p>
    <w:p w:rsidR="00D8477C" w:rsidRDefault="00D8477C" w:rsidP="00D847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Bevillingsområdet omfatter udgifter og indtægter vedrørende: </w:t>
      </w:r>
    </w:p>
    <w:p w:rsidR="007413FA" w:rsidRDefault="00D8477C" w:rsidP="007413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Fritidstilbud i form af </w:t>
      </w:r>
      <w:r w:rsidR="007413FA">
        <w:rPr>
          <w:sz w:val="20"/>
          <w:szCs w:val="20"/>
        </w:rPr>
        <w:t xml:space="preserve">Fritidsklubber og </w:t>
      </w:r>
      <w:r>
        <w:rPr>
          <w:sz w:val="20"/>
          <w:szCs w:val="20"/>
        </w:rPr>
        <w:t>byggelegepladser.</w:t>
      </w:r>
      <w:r w:rsidR="007413FA">
        <w:rPr>
          <w:sz w:val="20"/>
          <w:szCs w:val="20"/>
        </w:rPr>
        <w:t xml:space="preserve"> Tilbuddene er rettet mod unge indtil 14 år. I regi af fritidsklubberne er der etableret et særligt tilbud kaldet juniorklub, der retter sig mod aldersgruppen 14-16 år. </w:t>
      </w:r>
    </w:p>
    <w:p w:rsidR="00D8477C" w:rsidRDefault="00D8477C" w:rsidP="007413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Fritidstilbud i form af ungdomsklubber. </w:t>
      </w:r>
      <w:r w:rsidR="007413FA">
        <w:rPr>
          <w:sz w:val="20"/>
          <w:szCs w:val="20"/>
        </w:rPr>
        <w:t>Tilbuddene e</w:t>
      </w:r>
      <w:r w:rsidR="00DB433D">
        <w:rPr>
          <w:sz w:val="20"/>
          <w:szCs w:val="20"/>
        </w:rPr>
        <w:t>r rettet mod aldersgruppen 14-18</w:t>
      </w:r>
      <w:r w:rsidR="007413FA">
        <w:rPr>
          <w:sz w:val="20"/>
          <w:szCs w:val="20"/>
        </w:rPr>
        <w:t xml:space="preserve"> år.</w:t>
      </w:r>
    </w:p>
    <w:p w:rsidR="00D8477C" w:rsidRDefault="007413FA" w:rsidP="007413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Det Opsøgende Team.</w:t>
      </w:r>
      <w:r w:rsidR="00213107">
        <w:rPr>
          <w:sz w:val="20"/>
          <w:szCs w:val="20"/>
        </w:rPr>
        <w:t xml:space="preserve"> Et team organiseret som en del af ungerådgivningen. Te</w:t>
      </w:r>
      <w:r w:rsidR="00213107">
        <w:rPr>
          <w:sz w:val="20"/>
          <w:szCs w:val="20"/>
        </w:rPr>
        <w:t>a</w:t>
      </w:r>
      <w:r w:rsidR="00213107">
        <w:rPr>
          <w:sz w:val="20"/>
          <w:szCs w:val="20"/>
        </w:rPr>
        <w:t>met arbejder opsøgende overfor børn og unge der har problemer i hjemmet, har angst, misbrug m.v..</w:t>
      </w:r>
    </w:p>
    <w:p w:rsidR="00D8477C" w:rsidRDefault="00D8477C" w:rsidP="00B8741C">
      <w:pPr>
        <w:pStyle w:val="Ml-tekst"/>
      </w:pPr>
    </w:p>
    <w:p w:rsidR="00D8477C" w:rsidRDefault="007413FA" w:rsidP="00D8477C">
      <w:pPr>
        <w:pStyle w:val="Default"/>
      </w:pPr>
      <w:r w:rsidRPr="007413FA">
        <w:rPr>
          <w:sz w:val="20"/>
          <w:szCs w:val="20"/>
        </w:rPr>
        <w:t>Klubberne og ungdomsklubberne er opdelt i 4 distrikter</w:t>
      </w:r>
      <w:r>
        <w:rPr>
          <w:sz w:val="20"/>
          <w:szCs w:val="20"/>
        </w:rPr>
        <w:t>.</w:t>
      </w:r>
    </w:p>
    <w:p w:rsidR="007413FA" w:rsidRPr="00695A2A" w:rsidRDefault="008757C3" w:rsidP="00D8477C">
      <w:pPr>
        <w:pStyle w:val="Default"/>
        <w:rPr>
          <w:sz w:val="20"/>
        </w:rPr>
      </w:pPr>
      <w:r>
        <w:rPr>
          <w:sz w:val="20"/>
        </w:rPr>
        <w:t>Klub S</w:t>
      </w:r>
      <w:r w:rsidR="00695A2A" w:rsidRPr="00695A2A">
        <w:rPr>
          <w:sz w:val="20"/>
        </w:rPr>
        <w:t>kovlunde, der dækker området Lundebjerg og Rosenlund</w:t>
      </w:r>
    </w:p>
    <w:p w:rsidR="00695A2A" w:rsidRPr="00695A2A" w:rsidRDefault="00695A2A" w:rsidP="00D8477C">
      <w:pPr>
        <w:pStyle w:val="Default"/>
        <w:rPr>
          <w:sz w:val="20"/>
        </w:rPr>
      </w:pPr>
      <w:r w:rsidRPr="00695A2A">
        <w:rPr>
          <w:sz w:val="20"/>
        </w:rPr>
        <w:t>Klub Måløv, der dækker området Måløv og Østerhøj</w:t>
      </w:r>
    </w:p>
    <w:p w:rsidR="00695A2A" w:rsidRPr="00695A2A" w:rsidRDefault="008757C3" w:rsidP="00D8477C">
      <w:pPr>
        <w:pStyle w:val="Default"/>
        <w:rPr>
          <w:sz w:val="20"/>
        </w:rPr>
      </w:pPr>
      <w:r>
        <w:rPr>
          <w:sz w:val="20"/>
        </w:rPr>
        <w:t>Klub N</w:t>
      </w:r>
      <w:r w:rsidR="00695A2A" w:rsidRPr="00695A2A">
        <w:rPr>
          <w:sz w:val="20"/>
        </w:rPr>
        <w:t xml:space="preserve">ord, der dækker området </w:t>
      </w:r>
      <w:proofErr w:type="spellStart"/>
      <w:r w:rsidR="00695A2A" w:rsidRPr="00695A2A">
        <w:rPr>
          <w:sz w:val="20"/>
        </w:rPr>
        <w:t>Højager</w:t>
      </w:r>
      <w:proofErr w:type="spellEnd"/>
      <w:r w:rsidR="00695A2A" w:rsidRPr="00695A2A">
        <w:rPr>
          <w:sz w:val="20"/>
        </w:rPr>
        <w:t xml:space="preserve"> og Egebjerg</w:t>
      </w:r>
    </w:p>
    <w:p w:rsidR="00695A2A" w:rsidRPr="00695A2A" w:rsidRDefault="008757C3" w:rsidP="00D8477C">
      <w:pPr>
        <w:pStyle w:val="Default"/>
        <w:rPr>
          <w:sz w:val="20"/>
        </w:rPr>
      </w:pPr>
      <w:r>
        <w:rPr>
          <w:sz w:val="20"/>
        </w:rPr>
        <w:t>Klub S</w:t>
      </w:r>
      <w:r w:rsidR="00695A2A" w:rsidRPr="00695A2A">
        <w:rPr>
          <w:sz w:val="20"/>
        </w:rPr>
        <w:t>yd, der dækker Ballerup midt</w:t>
      </w:r>
      <w:r w:rsidR="00695A2A">
        <w:rPr>
          <w:sz w:val="20"/>
        </w:rPr>
        <w:t>.</w:t>
      </w:r>
    </w:p>
    <w:p w:rsidR="00695A2A" w:rsidRDefault="00695A2A" w:rsidP="00D8477C">
      <w:pPr>
        <w:pStyle w:val="Default"/>
      </w:pPr>
    </w:p>
    <w:p w:rsidR="00D8477C" w:rsidRDefault="00D8477C" w:rsidP="00D8477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Pasnings- og pladsgaranti </w:t>
      </w:r>
    </w:p>
    <w:p w:rsidR="00D8477C" w:rsidRDefault="008757C3" w:rsidP="00D847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Ballerup Kommune har </w:t>
      </w:r>
      <w:r w:rsidR="00D8477C">
        <w:rPr>
          <w:sz w:val="20"/>
          <w:szCs w:val="20"/>
        </w:rPr>
        <w:t xml:space="preserve">pladsgaranti for alle børn i alderen 0-18 år, der har </w:t>
      </w:r>
      <w:proofErr w:type="spellStart"/>
      <w:r w:rsidR="00D8477C">
        <w:rPr>
          <w:sz w:val="20"/>
          <w:szCs w:val="20"/>
        </w:rPr>
        <w:t>be-hov</w:t>
      </w:r>
      <w:proofErr w:type="spellEnd"/>
      <w:r w:rsidR="00D8477C">
        <w:rPr>
          <w:sz w:val="20"/>
          <w:szCs w:val="20"/>
        </w:rPr>
        <w:t xml:space="preserve"> for et dagpasnings- og fritidstilbud. </w:t>
      </w:r>
    </w:p>
    <w:p w:rsidR="00D8477C" w:rsidRDefault="00D8477C" w:rsidP="00D8477C">
      <w:pPr>
        <w:pStyle w:val="Ml-tekst"/>
      </w:pPr>
      <w:r>
        <w:t>For fritidstilbud er der pladsgaranti inden for lokalområdet. Et fritidstilbud tilbydes på byggelegepladser, idrætsfritidsklubber og/eller i fritids- og ungdomsklubber. De unge skal selv melde sig ind i den ønskede institution.</w:t>
      </w:r>
    </w:p>
    <w:p w:rsidR="00D8477C" w:rsidRDefault="00D8477C" w:rsidP="00B8741C">
      <w:pPr>
        <w:pStyle w:val="Ml-tekst"/>
      </w:pPr>
    </w:p>
    <w:p w:rsidR="00D8477C" w:rsidRPr="00CA5318" w:rsidRDefault="00CA5318" w:rsidP="00B8741C">
      <w:pPr>
        <w:pStyle w:val="Ml-tekst"/>
        <w:rPr>
          <w:b/>
        </w:rPr>
      </w:pPr>
      <w:r w:rsidRPr="00CA5318">
        <w:rPr>
          <w:b/>
        </w:rPr>
        <w:t>Åbningstid</w:t>
      </w:r>
    </w:p>
    <w:p w:rsidR="00CA5318" w:rsidRDefault="00CA5318" w:rsidP="00B8741C">
      <w:pPr>
        <w:pStyle w:val="Ml-tekst"/>
      </w:pPr>
      <w:r>
        <w:t>Budgetterne</w:t>
      </w:r>
      <w:r w:rsidR="00282B8E">
        <w:t xml:space="preserve"> er baseret på følgende ugentlige åbningstider.</w:t>
      </w:r>
    </w:p>
    <w:p w:rsidR="00282B8E" w:rsidRDefault="00282B8E" w:rsidP="00B8741C">
      <w:pPr>
        <w:pStyle w:val="Ml-tekst"/>
      </w:pPr>
      <w:r>
        <w:t xml:space="preserve">Klubber og Byggelegepladser: </w:t>
      </w:r>
    </w:p>
    <w:p w:rsidR="00CA5318" w:rsidRDefault="005D0EB1" w:rsidP="00282B8E">
      <w:pPr>
        <w:pStyle w:val="Ml-tekst"/>
        <w:numPr>
          <w:ilvl w:val="0"/>
          <w:numId w:val="15"/>
        </w:numPr>
      </w:pPr>
      <w:r>
        <w:t xml:space="preserve">I </w:t>
      </w:r>
      <w:proofErr w:type="spellStart"/>
      <w:r>
        <w:t>s</w:t>
      </w:r>
      <w:r w:rsidR="00CA5318">
        <w:t>koleuger</w:t>
      </w:r>
      <w:proofErr w:type="spellEnd"/>
      <w:r w:rsidR="00282B8E">
        <w:t xml:space="preserve"> </w:t>
      </w:r>
      <w:r>
        <w:t xml:space="preserve">er der en ugentlig åbningstid på </w:t>
      </w:r>
      <w:r w:rsidR="00BF6EA6">
        <w:t>17</w:t>
      </w:r>
      <w:r>
        <w:t xml:space="preserve"> timer</w:t>
      </w:r>
    </w:p>
    <w:p w:rsidR="00CA5318" w:rsidRDefault="005D0EB1" w:rsidP="00282B8E">
      <w:pPr>
        <w:pStyle w:val="Ml-tekst"/>
        <w:numPr>
          <w:ilvl w:val="0"/>
          <w:numId w:val="15"/>
        </w:numPr>
      </w:pPr>
      <w:r>
        <w:t>I s</w:t>
      </w:r>
      <w:r w:rsidR="00282B8E">
        <w:t xml:space="preserve">koleferier </w:t>
      </w:r>
      <w:r>
        <w:t>er der</w:t>
      </w:r>
      <w:r w:rsidR="00282B8E">
        <w:t xml:space="preserve"> en ugentlig åbningstid på </w:t>
      </w:r>
      <w:r>
        <w:t>35</w:t>
      </w:r>
      <w:r w:rsidR="00282B8E">
        <w:t xml:space="preserve"> timer</w:t>
      </w:r>
    </w:p>
    <w:p w:rsidR="00CD2464" w:rsidRDefault="00CD2464" w:rsidP="00CD2464">
      <w:pPr>
        <w:pStyle w:val="teksten"/>
        <w:rPr>
          <w:rFonts w:ascii="Verdana" w:hAnsi="Verdana"/>
          <w:noProof w:val="0"/>
          <w:sz w:val="20"/>
        </w:rPr>
      </w:pPr>
    </w:p>
    <w:p w:rsidR="00366B45" w:rsidRPr="00AF74F3" w:rsidRDefault="00366B45" w:rsidP="00366B45">
      <w:pPr>
        <w:pStyle w:val="Ml-tekst"/>
        <w:rPr>
          <w:b/>
        </w:rPr>
      </w:pPr>
      <w:r>
        <w:rPr>
          <w:b/>
        </w:rPr>
        <w:t>Myndighedsudgifter</w:t>
      </w:r>
    </w:p>
    <w:p w:rsidR="00366B45" w:rsidRDefault="00366B45" w:rsidP="00366B45">
      <w:pPr>
        <w:pStyle w:val="Ml-tekst"/>
      </w:pPr>
      <w:r>
        <w:t>Myndighedsopgaver er kendetegnet ved at være lovgivnings- og aftalebundne u</w:t>
      </w:r>
      <w:r>
        <w:t>d</w:t>
      </w:r>
      <w:r>
        <w:t>gifter.</w:t>
      </w:r>
    </w:p>
    <w:p w:rsidR="00366B45" w:rsidRPr="009819CF" w:rsidRDefault="00366B45" w:rsidP="00366B45">
      <w:pPr>
        <w:pStyle w:val="Ml-tekst"/>
      </w:pPr>
      <w:r>
        <w:t xml:space="preserve">Denne kategori indeholder endvidere udgifter til </w:t>
      </w:r>
      <w:r w:rsidR="00DA609E">
        <w:t xml:space="preserve">økonomisk </w:t>
      </w:r>
      <w:r>
        <w:t xml:space="preserve">friplads. </w:t>
      </w:r>
      <w:r w:rsidR="006A2BF2">
        <w:t>Økonomisk friplads er et indkomstafhængigt tilskud der gives til betaling af</w:t>
      </w:r>
      <w:r>
        <w:t xml:space="preserve"> </w:t>
      </w:r>
      <w:r w:rsidR="00DA609E">
        <w:t>forældrebetaling</w:t>
      </w:r>
      <w:r w:rsidR="006A2BF2">
        <w:t xml:space="preserve">. Økonomisk friplads gives </w:t>
      </w:r>
      <w:r>
        <w:t>i henhold til dagtilbudsloven</w:t>
      </w:r>
      <w:proofErr w:type="gramStart"/>
      <w:r w:rsidR="00DA609E">
        <w:t xml:space="preserve"> </w:t>
      </w:r>
      <w:r>
        <w:t>§</w:t>
      </w:r>
      <w:r w:rsidR="008A2D12">
        <w:t>76</w:t>
      </w:r>
      <w:proofErr w:type="gramEnd"/>
      <w:r w:rsidR="006A2BF2">
        <w:t>.</w:t>
      </w:r>
    </w:p>
    <w:p w:rsidR="00366B45" w:rsidRDefault="00366B45" w:rsidP="00CD2464">
      <w:pPr>
        <w:pStyle w:val="teksten"/>
        <w:rPr>
          <w:rFonts w:ascii="Verdana" w:hAnsi="Verdana"/>
          <w:noProof w:val="0"/>
          <w:sz w:val="20"/>
        </w:rPr>
      </w:pPr>
    </w:p>
    <w:p w:rsidR="00366B45" w:rsidRDefault="00366B45" w:rsidP="00CD2464">
      <w:pPr>
        <w:pStyle w:val="teksten"/>
        <w:rPr>
          <w:rFonts w:ascii="Verdana" w:hAnsi="Verdana"/>
          <w:noProof w:val="0"/>
          <w:sz w:val="20"/>
        </w:rPr>
      </w:pPr>
    </w:p>
    <w:p w:rsidR="00713C1B" w:rsidRPr="00656659" w:rsidRDefault="00C06EE8" w:rsidP="00656659">
      <w:pPr>
        <w:pStyle w:val="Overskrift1"/>
        <w:numPr>
          <w:ilvl w:val="0"/>
          <w:numId w:val="2"/>
        </w:numPr>
        <w:ind w:left="357" w:hanging="357"/>
        <w:rPr>
          <w:rFonts w:ascii="Verdana" w:hAnsi="Verdana"/>
          <w:sz w:val="22"/>
          <w:szCs w:val="22"/>
        </w:rPr>
      </w:pPr>
      <w:bookmarkStart w:id="1" w:name="_Toc373155774"/>
      <w:r w:rsidRPr="00C06EE8">
        <w:rPr>
          <w:rFonts w:ascii="Verdana" w:hAnsi="Verdana"/>
          <w:sz w:val="22"/>
          <w:szCs w:val="22"/>
        </w:rPr>
        <w:t>Politiske målsætninger</w:t>
      </w:r>
      <w:r w:rsidR="008A6B6F">
        <w:rPr>
          <w:rFonts w:ascii="Verdana" w:hAnsi="Verdana"/>
          <w:sz w:val="22"/>
          <w:szCs w:val="22"/>
        </w:rPr>
        <w:t xml:space="preserve"> for </w:t>
      </w:r>
      <w:bookmarkEnd w:id="1"/>
      <w:r w:rsidR="00D8477C">
        <w:rPr>
          <w:rFonts w:ascii="Verdana" w:hAnsi="Verdana"/>
          <w:sz w:val="22"/>
          <w:szCs w:val="22"/>
        </w:rPr>
        <w:t>Klubber og Byggelegepladser</w:t>
      </w:r>
      <w:r w:rsidR="00713C1B">
        <w:rPr>
          <w:rFonts w:ascii="Verdana" w:hAnsi="Verdana"/>
          <w:sz w:val="22"/>
          <w:szCs w:val="22"/>
        </w:rPr>
        <w:t xml:space="preserve"> </w:t>
      </w:r>
    </w:p>
    <w:p w:rsidR="007413FA" w:rsidRPr="007413FA" w:rsidRDefault="007413FA" w:rsidP="007413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Ballerup Kommunes klubber virker i deres lokalområder. Klubberne og byggelege-pladserne lægger vægt på at kende børnene og de unge, deres samlingssteder, grupperinger mv. inden for lokalområdet, så klubben aktivt kan modvirke uheldige gruppedannelser uanset om disse, helt eller delvist – eller slet ikke – består af klub- eller byggelegepladsmedlemmer.</w:t>
      </w:r>
    </w:p>
    <w:p w:rsidR="007413FA" w:rsidRDefault="00936A21" w:rsidP="00CD2464">
      <w:pPr>
        <w:pStyle w:val="afsnitsoverskrift"/>
        <w:rPr>
          <w:rFonts w:ascii="Verdana" w:hAnsi="Verdana" w:cs="Verdana"/>
          <w:b w:val="0"/>
          <w:noProof w:val="0"/>
          <w:color w:val="000000"/>
          <w:sz w:val="20"/>
        </w:rPr>
      </w:pPr>
      <w:r>
        <w:rPr>
          <w:rFonts w:ascii="Verdana" w:hAnsi="Verdana"/>
          <w:b w:val="0"/>
          <w:noProof w:val="0"/>
          <w:sz w:val="20"/>
        </w:rPr>
        <w:t xml:space="preserve">Det er målet at </w:t>
      </w:r>
      <w:r w:rsidRPr="00936A21">
        <w:rPr>
          <w:rFonts w:ascii="Verdana" w:hAnsi="Verdana" w:cs="Verdana"/>
          <w:b w:val="0"/>
          <w:noProof w:val="0"/>
          <w:color w:val="000000"/>
          <w:sz w:val="20"/>
        </w:rPr>
        <w:t>klubbernes aktivitetstilbud skal være alsidige, udviklende og fora</w:t>
      </w:r>
      <w:r w:rsidRPr="00936A21">
        <w:rPr>
          <w:rFonts w:ascii="Verdana" w:hAnsi="Verdana" w:cs="Verdana"/>
          <w:b w:val="0"/>
          <w:noProof w:val="0"/>
          <w:color w:val="000000"/>
          <w:sz w:val="20"/>
        </w:rPr>
        <w:t>n</w:t>
      </w:r>
      <w:r w:rsidRPr="00936A21">
        <w:rPr>
          <w:rFonts w:ascii="Verdana" w:hAnsi="Verdana" w:cs="Verdana"/>
          <w:b w:val="0"/>
          <w:noProof w:val="0"/>
          <w:color w:val="000000"/>
          <w:sz w:val="20"/>
        </w:rPr>
        <w:t>derlige, tilpasset børne- og ungdomsgrupperne og give barnet/den unge størst m</w:t>
      </w:r>
      <w:r w:rsidRPr="00936A21">
        <w:rPr>
          <w:rFonts w:ascii="Verdana" w:hAnsi="Verdana" w:cs="Verdana"/>
          <w:b w:val="0"/>
          <w:noProof w:val="0"/>
          <w:color w:val="000000"/>
          <w:sz w:val="20"/>
        </w:rPr>
        <w:t>u</w:t>
      </w:r>
      <w:r w:rsidRPr="00936A21">
        <w:rPr>
          <w:rFonts w:ascii="Verdana" w:hAnsi="Verdana" w:cs="Verdana"/>
          <w:b w:val="0"/>
          <w:noProof w:val="0"/>
          <w:color w:val="000000"/>
          <w:sz w:val="20"/>
        </w:rPr>
        <w:t>lig indflydelse på klubbernes praksis og liv</w:t>
      </w:r>
      <w:r>
        <w:rPr>
          <w:rFonts w:ascii="Verdana" w:hAnsi="Verdana" w:cs="Verdana"/>
          <w:b w:val="0"/>
          <w:noProof w:val="0"/>
          <w:color w:val="000000"/>
          <w:sz w:val="20"/>
        </w:rPr>
        <w:t>.</w:t>
      </w:r>
    </w:p>
    <w:p w:rsidR="00936A21" w:rsidRPr="00936A21" w:rsidRDefault="00E96F29" w:rsidP="00936A21">
      <w:pPr>
        <w:pStyle w:val="teksten"/>
        <w:rPr>
          <w:rFonts w:ascii="Verdana" w:hAnsi="Verdana" w:cs="Verdana"/>
          <w:noProof w:val="0"/>
          <w:color w:val="000000"/>
          <w:sz w:val="20"/>
        </w:rPr>
      </w:pPr>
      <w:r>
        <w:rPr>
          <w:rFonts w:ascii="Verdana" w:hAnsi="Verdana" w:cs="Verdana"/>
          <w:noProof w:val="0"/>
          <w:color w:val="000000"/>
          <w:sz w:val="20"/>
        </w:rPr>
        <w:t>Klubberne skal a</w:t>
      </w:r>
      <w:r w:rsidR="00936A21" w:rsidRPr="00936A21">
        <w:rPr>
          <w:rFonts w:ascii="Verdana" w:hAnsi="Verdana" w:cs="Verdana"/>
          <w:noProof w:val="0"/>
          <w:color w:val="000000"/>
          <w:sz w:val="20"/>
        </w:rPr>
        <w:t>rbejde kriminalitetsforebyggende i samarbejde med andre involv</w:t>
      </w:r>
      <w:r w:rsidR="00936A21" w:rsidRPr="00936A21">
        <w:rPr>
          <w:rFonts w:ascii="Verdana" w:hAnsi="Verdana" w:cs="Verdana"/>
          <w:noProof w:val="0"/>
          <w:color w:val="000000"/>
          <w:sz w:val="20"/>
        </w:rPr>
        <w:t>e</w:t>
      </w:r>
      <w:r w:rsidR="00936A21" w:rsidRPr="00936A21">
        <w:rPr>
          <w:rFonts w:ascii="Verdana" w:hAnsi="Verdana" w:cs="Verdana"/>
          <w:noProof w:val="0"/>
          <w:color w:val="000000"/>
          <w:sz w:val="20"/>
        </w:rPr>
        <w:t>rede parter: Det Opsøgende Team, SSP m.fl</w:t>
      </w:r>
    </w:p>
    <w:p w:rsidR="007413FA" w:rsidRDefault="00936A21" w:rsidP="00CD2464">
      <w:pPr>
        <w:pStyle w:val="afsnitsoverskrift"/>
        <w:rPr>
          <w:rFonts w:ascii="Verdana" w:hAnsi="Verdana"/>
          <w:b w:val="0"/>
          <w:noProof w:val="0"/>
          <w:sz w:val="20"/>
        </w:rPr>
      </w:pPr>
      <w:r w:rsidRPr="00936A21">
        <w:rPr>
          <w:rFonts w:ascii="Verdana" w:hAnsi="Verdana"/>
          <w:b w:val="0"/>
          <w:noProof w:val="0"/>
          <w:sz w:val="20"/>
        </w:rPr>
        <w:lastRenderedPageBreak/>
        <w:t>Klubberne skal medvirke til at skabe en forbindelse mellem de unges skolegang, fritid og idrætsklubberne.</w:t>
      </w:r>
    </w:p>
    <w:p w:rsidR="007413FA" w:rsidRDefault="007413FA" w:rsidP="007413FA">
      <w:pPr>
        <w:pStyle w:val="Default"/>
      </w:pPr>
    </w:p>
    <w:p w:rsidR="00B511C8" w:rsidRPr="000E1766" w:rsidRDefault="00B511C8" w:rsidP="00B511C8">
      <w:pPr>
        <w:pStyle w:val="Default"/>
        <w:rPr>
          <w:b/>
          <w:bCs/>
          <w:iCs/>
          <w:color w:val="auto"/>
          <w:sz w:val="20"/>
          <w:szCs w:val="20"/>
        </w:rPr>
      </w:pPr>
      <w:r w:rsidRPr="000E1766">
        <w:rPr>
          <w:b/>
          <w:bCs/>
          <w:iCs/>
          <w:color w:val="auto"/>
          <w:sz w:val="20"/>
          <w:szCs w:val="20"/>
        </w:rPr>
        <w:t xml:space="preserve">Unge i Ballerup Kommune – en fortsat helhedsorienteret ungeindsats </w:t>
      </w:r>
    </w:p>
    <w:p w:rsidR="00B511C8" w:rsidRDefault="00B511C8" w:rsidP="00B511C8">
      <w:pPr>
        <w:pStyle w:val="Default"/>
        <w:rPr>
          <w:color w:val="auto"/>
          <w:sz w:val="20"/>
          <w:szCs w:val="20"/>
        </w:rPr>
      </w:pPr>
      <w:r w:rsidRPr="000E1766">
        <w:rPr>
          <w:color w:val="auto"/>
          <w:sz w:val="20"/>
          <w:szCs w:val="20"/>
        </w:rPr>
        <w:t>I Ballerup Kommune fortsættes arbejdet med udvikling af en helhedsorienteret u</w:t>
      </w:r>
      <w:r w:rsidRPr="000E1766">
        <w:rPr>
          <w:color w:val="auto"/>
          <w:sz w:val="20"/>
          <w:szCs w:val="20"/>
        </w:rPr>
        <w:t>n</w:t>
      </w:r>
      <w:r w:rsidRPr="000E1766">
        <w:rPr>
          <w:color w:val="auto"/>
          <w:sz w:val="20"/>
          <w:szCs w:val="20"/>
        </w:rPr>
        <w:t xml:space="preserve">geindsats med henblik på at forebygge og modvirke marginalisering af unge. </w:t>
      </w:r>
      <w:r w:rsidR="00831FAF">
        <w:rPr>
          <w:color w:val="auto"/>
          <w:sz w:val="20"/>
          <w:szCs w:val="20"/>
        </w:rPr>
        <w:t>Arbe</w:t>
      </w:r>
      <w:r w:rsidR="00831FAF">
        <w:rPr>
          <w:color w:val="auto"/>
          <w:sz w:val="20"/>
          <w:szCs w:val="20"/>
        </w:rPr>
        <w:t>j</w:t>
      </w:r>
      <w:r w:rsidR="00831FAF">
        <w:rPr>
          <w:color w:val="auto"/>
          <w:sz w:val="20"/>
          <w:szCs w:val="20"/>
        </w:rPr>
        <w:t xml:space="preserve">det er tilrettelagt indenfor rammerne af den sammenhængende indsats for alle 0-25 år. </w:t>
      </w:r>
      <w:r w:rsidRPr="000E1766">
        <w:rPr>
          <w:color w:val="auto"/>
          <w:sz w:val="20"/>
          <w:szCs w:val="20"/>
        </w:rPr>
        <w:t>Målene er bl.a., at flere unge i Ballerup Kommune får en uddannelse, at fæ</w:t>
      </w:r>
      <w:r w:rsidRPr="000E1766">
        <w:rPr>
          <w:color w:val="auto"/>
          <w:sz w:val="20"/>
          <w:szCs w:val="20"/>
        </w:rPr>
        <w:t>r</w:t>
      </w:r>
      <w:r w:rsidRPr="000E1766">
        <w:rPr>
          <w:color w:val="auto"/>
          <w:sz w:val="20"/>
          <w:szCs w:val="20"/>
        </w:rPr>
        <w:t>re unge har behov for offentlig forsørgelse samt at nedbringe ungdomskriminalit</w:t>
      </w:r>
      <w:r w:rsidRPr="000E1766">
        <w:rPr>
          <w:color w:val="auto"/>
          <w:sz w:val="20"/>
          <w:szCs w:val="20"/>
        </w:rPr>
        <w:t>e</w:t>
      </w:r>
      <w:r w:rsidRPr="000E1766">
        <w:rPr>
          <w:color w:val="auto"/>
          <w:sz w:val="20"/>
          <w:szCs w:val="20"/>
        </w:rPr>
        <w:t xml:space="preserve">ten. </w:t>
      </w:r>
    </w:p>
    <w:p w:rsidR="00936A21" w:rsidRDefault="00936A21" w:rsidP="00B511C8">
      <w:pPr>
        <w:pStyle w:val="Default"/>
        <w:rPr>
          <w:color w:val="auto"/>
          <w:sz w:val="20"/>
          <w:szCs w:val="20"/>
        </w:rPr>
      </w:pPr>
    </w:p>
    <w:p w:rsidR="007413FA" w:rsidRDefault="007413FA" w:rsidP="007413FA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Bandemiljøet i Ballerup har betydet, at Ungeenheden er blevet opjusteret. Det har bl.a. medført, at </w:t>
      </w:r>
      <w:proofErr w:type="spellStart"/>
      <w:r>
        <w:rPr>
          <w:sz w:val="20"/>
          <w:szCs w:val="20"/>
        </w:rPr>
        <w:t>SSP-enheden</w:t>
      </w:r>
      <w:proofErr w:type="spellEnd"/>
      <w:r>
        <w:rPr>
          <w:sz w:val="20"/>
          <w:szCs w:val="20"/>
        </w:rPr>
        <w:t xml:space="preserve"> er blevet udvidet til 3 medarbejdere. Udvidelsen vil sikre en opgradering af det forebyggende, det proaktive og det reaktive SSP </w:t>
      </w:r>
      <w:proofErr w:type="spellStart"/>
      <w:r>
        <w:rPr>
          <w:sz w:val="20"/>
          <w:szCs w:val="20"/>
        </w:rPr>
        <w:t>arbej-de</w:t>
      </w:r>
      <w:proofErr w:type="spellEnd"/>
      <w:r>
        <w:rPr>
          <w:sz w:val="20"/>
          <w:szCs w:val="20"/>
        </w:rPr>
        <w:t xml:space="preserve">. Intentionen er dels at begrænse unge i at blive en del af bandemiljøet og dels at motivere/ arbejde med at få unge ud af bandemiljøet. Tillige er hensigten at skabe tryghed for borgere i og omkring de udsatte boligområder. </w:t>
      </w:r>
    </w:p>
    <w:p w:rsidR="007413FA" w:rsidRDefault="007413FA" w:rsidP="007413FA">
      <w:pPr>
        <w:pStyle w:val="Default"/>
        <w:rPr>
          <w:rFonts w:cs="Times New Roman"/>
          <w:color w:val="auto"/>
        </w:rPr>
      </w:pPr>
    </w:p>
    <w:p w:rsidR="007413FA" w:rsidRPr="000E1766" w:rsidRDefault="007413FA" w:rsidP="007413FA">
      <w:pPr>
        <w:pStyle w:val="Default"/>
        <w:rPr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Øvrige medarbejdere i Ungeområdet som Det opsøgende Team/ Ungerådgivningen vil understøtte det forbyggende arbejde i </w:t>
      </w:r>
      <w:r w:rsidR="00E96F29">
        <w:rPr>
          <w:rFonts w:cs="Times New Roman"/>
          <w:color w:val="auto"/>
          <w:sz w:val="20"/>
          <w:szCs w:val="20"/>
        </w:rPr>
        <w:t>både</w:t>
      </w:r>
      <w:r>
        <w:rPr>
          <w:rFonts w:cs="Times New Roman"/>
          <w:color w:val="auto"/>
          <w:sz w:val="20"/>
          <w:szCs w:val="20"/>
        </w:rPr>
        <w:t xml:space="preserve"> generelle initiativer for børn og unge i lokalområder som i specifikke indsatse</w:t>
      </w:r>
      <w:r w:rsidR="00E96F29">
        <w:rPr>
          <w:rFonts w:cs="Times New Roman"/>
          <w:color w:val="auto"/>
          <w:sz w:val="20"/>
          <w:szCs w:val="20"/>
        </w:rPr>
        <w:t>r over for unge i Ungerådgivnin</w:t>
      </w:r>
      <w:r>
        <w:rPr>
          <w:rFonts w:cs="Times New Roman"/>
          <w:color w:val="auto"/>
          <w:sz w:val="20"/>
          <w:szCs w:val="20"/>
        </w:rPr>
        <w:t>gen. Tilsv</w:t>
      </w:r>
      <w:r>
        <w:rPr>
          <w:rFonts w:cs="Times New Roman"/>
          <w:color w:val="auto"/>
          <w:sz w:val="20"/>
          <w:szCs w:val="20"/>
        </w:rPr>
        <w:t>a</w:t>
      </w:r>
      <w:r>
        <w:rPr>
          <w:rFonts w:cs="Times New Roman"/>
          <w:color w:val="auto"/>
          <w:sz w:val="20"/>
          <w:szCs w:val="20"/>
        </w:rPr>
        <w:t>rende arbejdes der forebyggende for udsatte unge med at etablere håndholdte u</w:t>
      </w:r>
      <w:r>
        <w:rPr>
          <w:rFonts w:cs="Times New Roman"/>
          <w:color w:val="auto"/>
          <w:sz w:val="20"/>
          <w:szCs w:val="20"/>
        </w:rPr>
        <w:t>d</w:t>
      </w:r>
      <w:r>
        <w:rPr>
          <w:rFonts w:cs="Times New Roman"/>
          <w:color w:val="auto"/>
          <w:sz w:val="20"/>
          <w:szCs w:val="20"/>
        </w:rPr>
        <w:t>dannelses- og beskæftigelsesaktiviteter.</w:t>
      </w:r>
    </w:p>
    <w:p w:rsidR="00B511C8" w:rsidRPr="000E1766" w:rsidRDefault="00B511C8" w:rsidP="00B511C8">
      <w:pPr>
        <w:pStyle w:val="Default"/>
        <w:rPr>
          <w:color w:val="auto"/>
          <w:sz w:val="20"/>
          <w:szCs w:val="20"/>
        </w:rPr>
      </w:pPr>
    </w:p>
    <w:p w:rsidR="00D2171A" w:rsidRDefault="00D2171A" w:rsidP="009F1DBC">
      <w:pPr>
        <w:pStyle w:val="Ml-tekst"/>
      </w:pPr>
    </w:p>
    <w:p w:rsidR="009113BB" w:rsidRDefault="009113BB"/>
    <w:p w:rsidR="000746D7" w:rsidRDefault="000746D7"/>
    <w:p w:rsidR="00D21BD9" w:rsidRDefault="00D21BD9" w:rsidP="00D21BD9"/>
    <w:p w:rsidR="009113BB" w:rsidRDefault="009113BB" w:rsidP="00D21BD9"/>
    <w:p w:rsidR="009113BB" w:rsidRDefault="009113BB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656659" w:rsidRDefault="00656659" w:rsidP="00D21BD9"/>
    <w:p w:rsidR="00656659" w:rsidRDefault="00656659" w:rsidP="00D21BD9"/>
    <w:p w:rsidR="00656659" w:rsidRDefault="00656659" w:rsidP="00D21BD9"/>
    <w:p w:rsidR="00656659" w:rsidRDefault="00656659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8D4DF1" w:rsidRDefault="008D4DF1" w:rsidP="00D21BD9"/>
    <w:p w:rsidR="009113BB" w:rsidRDefault="009113BB" w:rsidP="00D21BD9"/>
    <w:p w:rsidR="009113BB" w:rsidRDefault="009113BB" w:rsidP="00D21BD9"/>
    <w:p w:rsidR="009F1DBC" w:rsidRPr="00656659" w:rsidRDefault="00D21BD9" w:rsidP="00CC542E">
      <w:pPr>
        <w:pStyle w:val="Overskrift1"/>
        <w:numPr>
          <w:ilvl w:val="0"/>
          <w:numId w:val="2"/>
        </w:numPr>
        <w:ind w:left="357" w:hanging="357"/>
        <w:rPr>
          <w:rFonts w:ascii="Verdana" w:hAnsi="Verdana"/>
          <w:sz w:val="22"/>
          <w:szCs w:val="22"/>
        </w:rPr>
      </w:pPr>
      <w:r w:rsidRPr="00656659">
        <w:rPr>
          <w:rFonts w:ascii="Verdana" w:hAnsi="Verdana"/>
          <w:sz w:val="22"/>
          <w:szCs w:val="22"/>
        </w:rPr>
        <w:lastRenderedPageBreak/>
        <w:t>Økonomisk driftsramme og bemærkninger</w:t>
      </w:r>
    </w:p>
    <w:p w:rsidR="002162CF" w:rsidRDefault="002162CF" w:rsidP="00D03A39"/>
    <w:tbl>
      <w:tblPr>
        <w:tblW w:w="94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48"/>
        <w:gridCol w:w="1077"/>
        <w:gridCol w:w="1077"/>
        <w:gridCol w:w="1077"/>
        <w:gridCol w:w="1077"/>
        <w:gridCol w:w="1077"/>
        <w:gridCol w:w="1077"/>
      </w:tblGrid>
      <w:tr w:rsidR="00D6547F" w:rsidRPr="00F10760" w:rsidTr="00D6547F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Default="00D6547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Økonomisk driftsramme - 1.000 kr.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AB2015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BO2019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Fritidsklub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39.320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39.075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36.128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36.553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36.402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36.807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Fritidsklub forældrebetaling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-9.111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-9.079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-8.790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-9.003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-8.921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-9.125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Ungdomsklub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5.710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6.522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7.125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7.057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7.119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7.060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Ungdomsklub forældrebetaling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-722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-720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-763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-754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-763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-755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7C4E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Høretilbud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1.408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1.368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1.315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1.315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1.315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1.315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Døvegruppe takstbetaling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-1.951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-1.771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-1.708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-1.708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-1.708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-1.708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SSP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2.029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2.229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2.240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2.240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2.240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2.240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Myndighedsudgifter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2.329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2.404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2.524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2.547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2.521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2.558 </w:t>
            </w:r>
          </w:p>
        </w:tc>
      </w:tr>
      <w:tr w:rsidR="00D6547F" w:rsidRPr="00F10760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Øvrige-fællesudgifter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1.096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670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2.048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5.468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1.634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1.445 </w:t>
            </w:r>
          </w:p>
        </w:tc>
      </w:tr>
      <w:tr w:rsidR="00D6547F" w:rsidRPr="00D6547F" w:rsidTr="00D6547F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7F" w:rsidRPr="00D6547F" w:rsidRDefault="00D6547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547F">
              <w:rPr>
                <w:rFonts w:cs="Arial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P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547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40.107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40.699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40.121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P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547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43.715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P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547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39.839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Pr="00D6547F" w:rsidRDefault="00D6547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6547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39.839 </w:t>
            </w:r>
          </w:p>
        </w:tc>
      </w:tr>
    </w:tbl>
    <w:p w:rsidR="002162CF" w:rsidRDefault="002162CF" w:rsidP="00D03A39"/>
    <w:p w:rsidR="003028D6" w:rsidRDefault="003028D6" w:rsidP="002512BE">
      <w:pPr>
        <w:pStyle w:val="Ml-tekst"/>
        <w:rPr>
          <w:b/>
        </w:rPr>
      </w:pPr>
    </w:p>
    <w:tbl>
      <w:tblPr>
        <w:tblW w:w="946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48"/>
        <w:gridCol w:w="1134"/>
        <w:gridCol w:w="1077"/>
        <w:gridCol w:w="1077"/>
        <w:gridCol w:w="1077"/>
        <w:gridCol w:w="1077"/>
        <w:gridCol w:w="1077"/>
      </w:tblGrid>
      <w:tr w:rsidR="00D6547F" w:rsidRPr="0073723A" w:rsidTr="00D6547F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723A">
              <w:rPr>
                <w:rFonts w:cs="Arial"/>
                <w:b/>
                <w:bCs/>
                <w:color w:val="000000"/>
                <w:sz w:val="18"/>
                <w:szCs w:val="18"/>
              </w:rPr>
              <w:t>Pris - kr.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AB2015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BO2019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Udg. pr medlem fritidsklub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19.582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19.089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18.594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18.368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18.459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18.249 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proofErr w:type="spellStart"/>
            <w:r w:rsidRPr="0073723A">
              <w:rPr>
                <w:rFonts w:cs="Arial"/>
                <w:sz w:val="18"/>
                <w:szCs w:val="18"/>
              </w:rPr>
              <w:t>Indt</w:t>
            </w:r>
            <w:proofErr w:type="spellEnd"/>
            <w:r w:rsidRPr="0073723A">
              <w:rPr>
                <w:rFonts w:cs="Arial"/>
                <w:sz w:val="18"/>
                <w:szCs w:val="18"/>
              </w:rPr>
              <w:t>. pr medlem fritidsklub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-4.537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-4.435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-4.524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-4.524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-4.524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-4.524 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Udg. pr. medlem 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10.794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12.788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13.343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13.365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13.331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13.347 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proofErr w:type="spellStart"/>
            <w:r w:rsidRPr="0073723A">
              <w:rPr>
                <w:rFonts w:cs="Arial"/>
                <w:sz w:val="18"/>
                <w:szCs w:val="18"/>
              </w:rPr>
              <w:t>Indt</w:t>
            </w:r>
            <w:proofErr w:type="spellEnd"/>
            <w:r w:rsidRPr="0073723A">
              <w:rPr>
                <w:rFonts w:cs="Arial"/>
                <w:sz w:val="18"/>
                <w:szCs w:val="18"/>
              </w:rPr>
              <w:t>. pr medlem 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-1.365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-1.412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-1.428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-1.428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-1.428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-1.428 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7C4E27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 xml:space="preserve">Udg. pr medlem </w:t>
            </w:r>
            <w:r w:rsidR="007C4E27">
              <w:rPr>
                <w:rFonts w:cs="Arial"/>
                <w:sz w:val="18"/>
                <w:szCs w:val="18"/>
              </w:rPr>
              <w:t>Høretilbud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74.925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68.385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69.210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69.210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69.210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69.210 </w:t>
            </w:r>
          </w:p>
        </w:tc>
      </w:tr>
      <w:tr w:rsidR="00D6547F" w:rsidRPr="0073723A" w:rsidTr="00D6547F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4E27" w:rsidRPr="0073723A" w:rsidRDefault="00D6547F" w:rsidP="007C4E27">
            <w:pPr>
              <w:rPr>
                <w:rFonts w:cs="Arial"/>
                <w:sz w:val="18"/>
                <w:szCs w:val="18"/>
              </w:rPr>
            </w:pPr>
            <w:proofErr w:type="spellStart"/>
            <w:r w:rsidRPr="0073723A">
              <w:rPr>
                <w:rFonts w:cs="Arial"/>
                <w:sz w:val="18"/>
                <w:szCs w:val="18"/>
              </w:rPr>
              <w:t>Indt</w:t>
            </w:r>
            <w:proofErr w:type="spellEnd"/>
            <w:r w:rsidRPr="0073723A">
              <w:rPr>
                <w:rFonts w:cs="Arial"/>
                <w:sz w:val="18"/>
                <w:szCs w:val="18"/>
              </w:rPr>
              <w:t xml:space="preserve">. pr. medlem </w:t>
            </w:r>
            <w:r w:rsidR="007C4E27">
              <w:rPr>
                <w:rFonts w:cs="Arial"/>
                <w:sz w:val="18"/>
                <w:szCs w:val="18"/>
              </w:rPr>
              <w:t>Høretilbud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-103.808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-88.532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-89.878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-89.878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-89.878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-89.878 </w:t>
            </w:r>
          </w:p>
        </w:tc>
      </w:tr>
    </w:tbl>
    <w:p w:rsidR="00BB1D49" w:rsidRDefault="00BB1D49" w:rsidP="002512BE">
      <w:pPr>
        <w:pStyle w:val="Ml-tekst"/>
        <w:rPr>
          <w:b/>
        </w:rPr>
      </w:pPr>
    </w:p>
    <w:tbl>
      <w:tblPr>
        <w:tblW w:w="94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48"/>
        <w:gridCol w:w="1077"/>
        <w:gridCol w:w="1077"/>
        <w:gridCol w:w="1077"/>
        <w:gridCol w:w="1077"/>
        <w:gridCol w:w="1077"/>
        <w:gridCol w:w="1077"/>
      </w:tblGrid>
      <w:tr w:rsidR="00D6547F" w:rsidRPr="0073723A" w:rsidTr="009529AD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723A">
              <w:rPr>
                <w:rFonts w:cs="Arial"/>
                <w:b/>
                <w:bCs/>
                <w:color w:val="000000"/>
                <w:sz w:val="18"/>
                <w:szCs w:val="18"/>
              </w:rPr>
              <w:t>Antal - enhed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AB2015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BO2019</w:t>
            </w:r>
          </w:p>
        </w:tc>
      </w:tr>
      <w:tr w:rsidR="00D6547F" w:rsidRPr="0073723A" w:rsidTr="009529AD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 xml:space="preserve">Fritidsklub medlemmer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2.008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2.047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1.943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1.990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1.972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2.017 </w:t>
            </w:r>
          </w:p>
        </w:tc>
      </w:tr>
      <w:tr w:rsidR="00D6547F" w:rsidRPr="0073723A" w:rsidTr="009529AD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D6547F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Ungdomsklub medlemmer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529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510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534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528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534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           529 </w:t>
            </w:r>
          </w:p>
        </w:tc>
      </w:tr>
      <w:tr w:rsidR="00D6547F" w:rsidRPr="0073723A" w:rsidTr="009529AD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Høretilbud</w:t>
            </w:r>
            <w:r w:rsidR="00D6547F" w:rsidRPr="0073723A">
              <w:rPr>
                <w:rFonts w:cs="Arial"/>
                <w:sz w:val="18"/>
                <w:szCs w:val="18"/>
              </w:rPr>
              <w:t xml:space="preserve"> medlemmer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  19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20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19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19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19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>
            <w:pPr>
              <w:jc w:val="right"/>
              <w:rPr>
                <w:rFonts w:ascii="Calibri" w:hAnsi="Calibri" w:cs="Arial"/>
                <w:color w:val="000000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 xml:space="preserve">              19 </w:t>
            </w:r>
          </w:p>
        </w:tc>
      </w:tr>
    </w:tbl>
    <w:p w:rsidR="00F10760" w:rsidRDefault="00F10760" w:rsidP="002512BE">
      <w:pPr>
        <w:pStyle w:val="Ml-tekst"/>
        <w:rPr>
          <w:b/>
        </w:rPr>
      </w:pPr>
    </w:p>
    <w:p w:rsidR="0005521B" w:rsidRDefault="0005521B" w:rsidP="002356B3"/>
    <w:p w:rsidR="009A0C9A" w:rsidRDefault="009A0C9A" w:rsidP="009A0C9A"/>
    <w:tbl>
      <w:tblPr>
        <w:tblW w:w="94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948"/>
        <w:gridCol w:w="1077"/>
        <w:gridCol w:w="1077"/>
        <w:gridCol w:w="1077"/>
        <w:gridCol w:w="1077"/>
        <w:gridCol w:w="1077"/>
        <w:gridCol w:w="1077"/>
      </w:tblGrid>
      <w:tr w:rsidR="00D6547F" w:rsidRPr="0073723A" w:rsidTr="006F5A99">
        <w:trPr>
          <w:trHeight w:val="30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7F" w:rsidRPr="0073723A" w:rsidRDefault="007C4E27" w:rsidP="007C4E2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Fordeling af </w:t>
            </w:r>
            <w:proofErr w:type="gram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nettobudget </w:t>
            </w:r>
            <w:r w:rsidR="00D6547F" w:rsidRPr="007372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i</w:t>
            </w:r>
            <w:proofErr w:type="gramEnd"/>
            <w:r w:rsidR="00D6547F" w:rsidRPr="007372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pct.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R2014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AB2015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47F" w:rsidRDefault="00D6547F" w:rsidP="00937EDC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BO2019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Fritidsklub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69,5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Ungdomsklub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15,8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Høretilbud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-0,9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-1,0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SSP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5,6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r w:rsidRPr="0073723A">
              <w:rPr>
                <w:rFonts w:cs="Arial"/>
                <w:sz w:val="18"/>
                <w:szCs w:val="18"/>
              </w:rPr>
              <w:t>Myndighedsudgifter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6,4</w:t>
            </w:r>
          </w:p>
        </w:tc>
      </w:tr>
      <w:tr w:rsidR="007C4E27" w:rsidRPr="0073723A" w:rsidTr="006F5A99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Pr="0073723A" w:rsidRDefault="007C4E27" w:rsidP="00F10760">
            <w:pPr>
              <w:rPr>
                <w:rFonts w:cs="Arial"/>
                <w:sz w:val="18"/>
                <w:szCs w:val="18"/>
              </w:rPr>
            </w:pPr>
            <w:proofErr w:type="spellStart"/>
            <w:r w:rsidRPr="0073723A">
              <w:rPr>
                <w:rFonts w:cs="Arial"/>
                <w:sz w:val="18"/>
                <w:szCs w:val="18"/>
              </w:rPr>
              <w:t>Øvrige-fællesudgifter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E27" w:rsidRDefault="007C4E2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3,6</w:t>
            </w:r>
          </w:p>
        </w:tc>
      </w:tr>
    </w:tbl>
    <w:p w:rsidR="009A0C9A" w:rsidRDefault="009A0C9A" w:rsidP="009A0C9A"/>
    <w:p w:rsidR="00BB1D49" w:rsidRDefault="00BB1D49" w:rsidP="009A0C9A"/>
    <w:p w:rsidR="009A0C9A" w:rsidRDefault="009A0C9A" w:rsidP="009A0C9A"/>
    <w:p w:rsidR="009A0C9A" w:rsidRDefault="009A0C9A" w:rsidP="009A0C9A"/>
    <w:p w:rsidR="008D4DF1" w:rsidRDefault="007C4E27" w:rsidP="009A0C9A">
      <w:r w:rsidRPr="007C4E27">
        <w:rPr>
          <w:noProof/>
        </w:rPr>
        <w:lastRenderedPageBreak/>
        <w:drawing>
          <wp:inline distT="0" distB="0" distL="0" distR="0">
            <wp:extent cx="4981575" cy="2847975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4DF1" w:rsidRDefault="008D4DF1" w:rsidP="009A0C9A"/>
    <w:p w:rsidR="008D4DF1" w:rsidRDefault="008D4DF1" w:rsidP="009A0C9A"/>
    <w:p w:rsidR="007C4E27" w:rsidRDefault="007C4E27" w:rsidP="009A0C9A">
      <w:r>
        <w:t>Lagkagediagrammet viser fordelingen af nettoudgiftsbudgettet for 2016 på hove</w:t>
      </w:r>
      <w:r>
        <w:t>d</w:t>
      </w:r>
      <w:r>
        <w:t>områder på klubrammen. For områderne Fritidsklub og Ungdomsklub er det nett</w:t>
      </w:r>
      <w:r>
        <w:t>o</w:t>
      </w:r>
      <w:r>
        <w:t>budget hvor forældrebetalingerne er fratrukket. Høretilbuddet er takstfinansieret, og derfor er takstindtægterne være større end de direkte udgifter.</w:t>
      </w:r>
    </w:p>
    <w:p w:rsidR="007C4E27" w:rsidRDefault="007C4E27" w:rsidP="009A0C9A"/>
    <w:p w:rsidR="003B797E" w:rsidRDefault="003B797E" w:rsidP="003B797E">
      <w:r>
        <w:t>Den økonomiske ramme til Klubber og Byggelegepladser er i alt væsentlighed b</w:t>
      </w:r>
      <w:r>
        <w:t>e</w:t>
      </w:r>
      <w:r>
        <w:t>stemt af udgifter til drift af decentrale institutioner. Institutionernes budgetter er demografiafhængige. Dette betyder at budgetterne for de enkelte institutioner og de samlede institutioner er afhængige af de forventede medlemstal.</w:t>
      </w:r>
    </w:p>
    <w:p w:rsidR="00557543" w:rsidRDefault="003B797E" w:rsidP="00557543">
      <w:r>
        <w:t xml:space="preserve">En gang årligt udarbejdes der en befolkningsprognose, der viser en udvikling for forventningen til antallet af </w:t>
      </w:r>
      <w:r w:rsidR="00557543">
        <w:t>medlemmer i klubberne</w:t>
      </w:r>
      <w:r>
        <w:t>.</w:t>
      </w:r>
      <w:r w:rsidR="00557543" w:rsidRPr="00557543">
        <w:t xml:space="preserve"> </w:t>
      </w:r>
    </w:p>
    <w:p w:rsidR="00557543" w:rsidRDefault="00557543" w:rsidP="00557543">
      <w:r>
        <w:t>Endvidere er institutionernes budgetter løbende reguleret i forhold til det faktiske medlemstal, således vil et vigende medlemstal slå igennem på institutionernes budgetter den efterfølgende måned.</w:t>
      </w:r>
    </w:p>
    <w:sectPr w:rsidR="00557543" w:rsidSect="005A5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3D" w:rsidRDefault="00DB433D">
      <w:r>
        <w:separator/>
      </w:r>
    </w:p>
  </w:endnote>
  <w:endnote w:type="continuationSeparator" w:id="0">
    <w:p w:rsidR="00DB433D" w:rsidRDefault="00DB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fficina San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Default="00DB433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Default="00DB433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Default="00DB433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3D" w:rsidRDefault="00DB433D">
      <w:r>
        <w:separator/>
      </w:r>
    </w:p>
  </w:footnote>
  <w:footnote w:type="continuationSeparator" w:id="0">
    <w:p w:rsidR="00DB433D" w:rsidRDefault="00DB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Default="00DB43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Pr="00C61B00" w:rsidRDefault="00DB433D" w:rsidP="00E436C6">
    <w:pPr>
      <w:pStyle w:val="Sidehoved"/>
      <w:jc w:val="right"/>
      <w:rPr>
        <w:color w:val="000000"/>
        <w:sz w:val="18"/>
        <w:szCs w:val="18"/>
      </w:rPr>
    </w:pPr>
    <w:r w:rsidRPr="00BF14B7">
      <w:rPr>
        <w:caps/>
        <w:color w:val="808080"/>
        <w:sz w:val="18"/>
        <w:szCs w:val="18"/>
      </w:rPr>
      <w:t>Bevillingsområde</w:t>
    </w:r>
    <w:r w:rsidRPr="00BF14B7">
      <w:rPr>
        <w:color w:val="808080"/>
        <w:sz w:val="18"/>
        <w:szCs w:val="18"/>
      </w:rPr>
      <w:t xml:space="preserve"> </w:t>
    </w:r>
    <w:r>
      <w:rPr>
        <w:color w:val="808080"/>
        <w:sz w:val="18"/>
        <w:szCs w:val="18"/>
      </w:rPr>
      <w:t>40</w:t>
    </w:r>
    <w:r w:rsidRPr="00BF14B7">
      <w:rPr>
        <w:color w:val="808080"/>
        <w:sz w:val="18"/>
        <w:szCs w:val="18"/>
      </w:rPr>
      <w:t>.</w:t>
    </w:r>
    <w:r>
      <w:rPr>
        <w:color w:val="808080"/>
        <w:sz w:val="18"/>
        <w:szCs w:val="18"/>
      </w:rPr>
      <w:t>39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3D" w:rsidRDefault="00DB433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B9B"/>
    <w:multiLevelType w:val="hybridMultilevel"/>
    <w:tmpl w:val="E67C9EF2"/>
    <w:lvl w:ilvl="0" w:tplc="174887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403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679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8D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4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4BA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A73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E8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A47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254AC"/>
    <w:multiLevelType w:val="hybridMultilevel"/>
    <w:tmpl w:val="C65EA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110"/>
    <w:multiLevelType w:val="multilevel"/>
    <w:tmpl w:val="E946D050"/>
    <w:lvl w:ilvl="0">
      <w:start w:val="1"/>
      <w:numFmt w:val="bullet"/>
      <w:lvlText w:val=""/>
      <w:lvlJc w:val="left"/>
      <w:pPr>
        <w:ind w:left="870" w:hanging="870"/>
      </w:pPr>
      <w:rPr>
        <w:rFonts w:ascii="Symbol" w:hAnsi="Symbol" w:hint="default"/>
      </w:rPr>
    </w:lvl>
    <w:lvl w:ilvl="1">
      <w:start w:val="28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D4D5C6B"/>
    <w:multiLevelType w:val="hybridMultilevel"/>
    <w:tmpl w:val="DEC00E70"/>
    <w:lvl w:ilvl="0" w:tplc="4028A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8A8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6E0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E2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5F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46D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95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C9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C0F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B46B6"/>
    <w:multiLevelType w:val="hybridMultilevel"/>
    <w:tmpl w:val="FFC0F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5557"/>
    <w:multiLevelType w:val="hybridMultilevel"/>
    <w:tmpl w:val="6FF0D172"/>
    <w:lvl w:ilvl="0" w:tplc="82BCE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6DF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00A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AA0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2B9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A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62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E5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BA2C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25D32"/>
    <w:multiLevelType w:val="hybridMultilevel"/>
    <w:tmpl w:val="1B1AF622"/>
    <w:lvl w:ilvl="0" w:tplc="18A25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8C5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42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283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A0E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6BD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277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A7A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A1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B3D9B"/>
    <w:multiLevelType w:val="hybridMultilevel"/>
    <w:tmpl w:val="35264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865FB"/>
    <w:multiLevelType w:val="multilevel"/>
    <w:tmpl w:val="9DBE1E6C"/>
    <w:lvl w:ilvl="0">
      <w:start w:val="1"/>
      <w:numFmt w:val="bullet"/>
      <w:pStyle w:val="Ml-punktopstilli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2C16DDF"/>
    <w:multiLevelType w:val="hybridMultilevel"/>
    <w:tmpl w:val="90164378"/>
    <w:lvl w:ilvl="0" w:tplc="C1209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6D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0A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EB1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24E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A421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45A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4B3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E3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D1B71"/>
    <w:multiLevelType w:val="hybridMultilevel"/>
    <w:tmpl w:val="EC6ED022"/>
    <w:lvl w:ilvl="0" w:tplc="4028A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D1629"/>
    <w:multiLevelType w:val="hybridMultilevel"/>
    <w:tmpl w:val="D74E7B7C"/>
    <w:lvl w:ilvl="0" w:tplc="5B8EC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0DF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F2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B86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05D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4A8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28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698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D34A9"/>
    <w:multiLevelType w:val="hybridMultilevel"/>
    <w:tmpl w:val="DD9E903C"/>
    <w:lvl w:ilvl="0" w:tplc="4028A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C62FD"/>
    <w:multiLevelType w:val="hybridMultilevel"/>
    <w:tmpl w:val="96A01332"/>
    <w:lvl w:ilvl="0" w:tplc="CC6864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610D0">
      <w:start w:val="10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A7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426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18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43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E0C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4B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F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600E1"/>
    <w:multiLevelType w:val="hybridMultilevel"/>
    <w:tmpl w:val="C0AE5CC2"/>
    <w:lvl w:ilvl="0" w:tplc="EEB89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09AE8">
      <w:start w:val="10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63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9F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416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6EB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CED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048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A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C3E12"/>
    <w:rsid w:val="0001261B"/>
    <w:rsid w:val="00015C16"/>
    <w:rsid w:val="000271CB"/>
    <w:rsid w:val="0003077F"/>
    <w:rsid w:val="00040754"/>
    <w:rsid w:val="00043F72"/>
    <w:rsid w:val="00046B95"/>
    <w:rsid w:val="0005521B"/>
    <w:rsid w:val="00056E26"/>
    <w:rsid w:val="000678EC"/>
    <w:rsid w:val="0007056C"/>
    <w:rsid w:val="000746D7"/>
    <w:rsid w:val="00083841"/>
    <w:rsid w:val="000A133E"/>
    <w:rsid w:val="000B0EBA"/>
    <w:rsid w:val="000B7FE5"/>
    <w:rsid w:val="000D63AD"/>
    <w:rsid w:val="000E277B"/>
    <w:rsid w:val="000E401F"/>
    <w:rsid w:val="000E4F61"/>
    <w:rsid w:val="000E6A2D"/>
    <w:rsid w:val="000F4D84"/>
    <w:rsid w:val="000F56D2"/>
    <w:rsid w:val="000F7939"/>
    <w:rsid w:val="001031EC"/>
    <w:rsid w:val="001058E8"/>
    <w:rsid w:val="001112AE"/>
    <w:rsid w:val="001248D4"/>
    <w:rsid w:val="00134753"/>
    <w:rsid w:val="00144B91"/>
    <w:rsid w:val="00153528"/>
    <w:rsid w:val="001739A2"/>
    <w:rsid w:val="001762C8"/>
    <w:rsid w:val="001A150A"/>
    <w:rsid w:val="001A4A0F"/>
    <w:rsid w:val="001B41F6"/>
    <w:rsid w:val="001F2D8D"/>
    <w:rsid w:val="001F5FCE"/>
    <w:rsid w:val="001F64F5"/>
    <w:rsid w:val="00212524"/>
    <w:rsid w:val="00213107"/>
    <w:rsid w:val="00213267"/>
    <w:rsid w:val="00214D0B"/>
    <w:rsid w:val="002162CF"/>
    <w:rsid w:val="0022084F"/>
    <w:rsid w:val="002356B3"/>
    <w:rsid w:val="00247D53"/>
    <w:rsid w:val="002512BE"/>
    <w:rsid w:val="0026404E"/>
    <w:rsid w:val="0027307C"/>
    <w:rsid w:val="00282B8E"/>
    <w:rsid w:val="002906AD"/>
    <w:rsid w:val="00297960"/>
    <w:rsid w:val="002A5001"/>
    <w:rsid w:val="002B1B7A"/>
    <w:rsid w:val="002C33DD"/>
    <w:rsid w:val="002D4171"/>
    <w:rsid w:val="002E250F"/>
    <w:rsid w:val="002F52D5"/>
    <w:rsid w:val="003028D6"/>
    <w:rsid w:val="00330FDD"/>
    <w:rsid w:val="00335085"/>
    <w:rsid w:val="00336CAB"/>
    <w:rsid w:val="00355B38"/>
    <w:rsid w:val="00366B45"/>
    <w:rsid w:val="00377B6B"/>
    <w:rsid w:val="0038549A"/>
    <w:rsid w:val="00392237"/>
    <w:rsid w:val="00393CB2"/>
    <w:rsid w:val="003A2DA7"/>
    <w:rsid w:val="003A7A60"/>
    <w:rsid w:val="003B4E25"/>
    <w:rsid w:val="003B5AED"/>
    <w:rsid w:val="003B797E"/>
    <w:rsid w:val="003C0285"/>
    <w:rsid w:val="003E0D26"/>
    <w:rsid w:val="003E7CB5"/>
    <w:rsid w:val="003F1B39"/>
    <w:rsid w:val="003F4566"/>
    <w:rsid w:val="00404A9E"/>
    <w:rsid w:val="00425807"/>
    <w:rsid w:val="004429CE"/>
    <w:rsid w:val="0045759B"/>
    <w:rsid w:val="00485975"/>
    <w:rsid w:val="00491404"/>
    <w:rsid w:val="004965B3"/>
    <w:rsid w:val="00496765"/>
    <w:rsid w:val="004A3523"/>
    <w:rsid w:val="004A4886"/>
    <w:rsid w:val="004A6245"/>
    <w:rsid w:val="004A793B"/>
    <w:rsid w:val="004B613C"/>
    <w:rsid w:val="004C0E46"/>
    <w:rsid w:val="004C4E21"/>
    <w:rsid w:val="004C5AA6"/>
    <w:rsid w:val="004D5801"/>
    <w:rsid w:val="004F0072"/>
    <w:rsid w:val="004F036F"/>
    <w:rsid w:val="004F2A00"/>
    <w:rsid w:val="00502CDA"/>
    <w:rsid w:val="00504DA8"/>
    <w:rsid w:val="00526C23"/>
    <w:rsid w:val="00530D94"/>
    <w:rsid w:val="005406BB"/>
    <w:rsid w:val="00544BD2"/>
    <w:rsid w:val="00555B49"/>
    <w:rsid w:val="00557543"/>
    <w:rsid w:val="00560E33"/>
    <w:rsid w:val="00563E66"/>
    <w:rsid w:val="00577D34"/>
    <w:rsid w:val="00592942"/>
    <w:rsid w:val="005959F7"/>
    <w:rsid w:val="005A10F5"/>
    <w:rsid w:val="005A55A7"/>
    <w:rsid w:val="005D0EB1"/>
    <w:rsid w:val="005D2313"/>
    <w:rsid w:val="005D3E04"/>
    <w:rsid w:val="005D5099"/>
    <w:rsid w:val="005D6E08"/>
    <w:rsid w:val="005F10F4"/>
    <w:rsid w:val="005F174E"/>
    <w:rsid w:val="005F59E3"/>
    <w:rsid w:val="00616828"/>
    <w:rsid w:val="00623E1B"/>
    <w:rsid w:val="00633FFD"/>
    <w:rsid w:val="00635DF3"/>
    <w:rsid w:val="0065222B"/>
    <w:rsid w:val="00656659"/>
    <w:rsid w:val="00656E12"/>
    <w:rsid w:val="00660CCD"/>
    <w:rsid w:val="00695A2A"/>
    <w:rsid w:val="006A2BF2"/>
    <w:rsid w:val="006C3F00"/>
    <w:rsid w:val="006D5F68"/>
    <w:rsid w:val="006E4629"/>
    <w:rsid w:val="006E49F8"/>
    <w:rsid w:val="006E72BE"/>
    <w:rsid w:val="006F5A99"/>
    <w:rsid w:val="006F6A6C"/>
    <w:rsid w:val="007116BE"/>
    <w:rsid w:val="0071368C"/>
    <w:rsid w:val="00713C1B"/>
    <w:rsid w:val="00730C29"/>
    <w:rsid w:val="00732C0F"/>
    <w:rsid w:val="0073723A"/>
    <w:rsid w:val="00737961"/>
    <w:rsid w:val="007413FA"/>
    <w:rsid w:val="007602DA"/>
    <w:rsid w:val="00766ACA"/>
    <w:rsid w:val="00773F3C"/>
    <w:rsid w:val="00773F71"/>
    <w:rsid w:val="007748E9"/>
    <w:rsid w:val="007751DB"/>
    <w:rsid w:val="00787F8D"/>
    <w:rsid w:val="0079169B"/>
    <w:rsid w:val="007A7A46"/>
    <w:rsid w:val="007B6DC1"/>
    <w:rsid w:val="007C4625"/>
    <w:rsid w:val="007C4A86"/>
    <w:rsid w:val="007C4E27"/>
    <w:rsid w:val="007D266E"/>
    <w:rsid w:val="007E1457"/>
    <w:rsid w:val="007E6F72"/>
    <w:rsid w:val="007E7B08"/>
    <w:rsid w:val="008103B1"/>
    <w:rsid w:val="008104CE"/>
    <w:rsid w:val="00825180"/>
    <w:rsid w:val="00831FAF"/>
    <w:rsid w:val="008326EF"/>
    <w:rsid w:val="0084058B"/>
    <w:rsid w:val="00843509"/>
    <w:rsid w:val="00846655"/>
    <w:rsid w:val="008500C4"/>
    <w:rsid w:val="0085198D"/>
    <w:rsid w:val="00855880"/>
    <w:rsid w:val="00862FA2"/>
    <w:rsid w:val="008649D8"/>
    <w:rsid w:val="00866188"/>
    <w:rsid w:val="00873FCE"/>
    <w:rsid w:val="008757C3"/>
    <w:rsid w:val="00891465"/>
    <w:rsid w:val="00891F61"/>
    <w:rsid w:val="008930B1"/>
    <w:rsid w:val="0089779F"/>
    <w:rsid w:val="008A2D12"/>
    <w:rsid w:val="008A3531"/>
    <w:rsid w:val="008A6B6F"/>
    <w:rsid w:val="008B41BE"/>
    <w:rsid w:val="008C0574"/>
    <w:rsid w:val="008C0EF3"/>
    <w:rsid w:val="008D40C6"/>
    <w:rsid w:val="008D4DF1"/>
    <w:rsid w:val="008D7C07"/>
    <w:rsid w:val="008F4F7D"/>
    <w:rsid w:val="008F6718"/>
    <w:rsid w:val="009113BB"/>
    <w:rsid w:val="009115F4"/>
    <w:rsid w:val="00911699"/>
    <w:rsid w:val="00924BAA"/>
    <w:rsid w:val="009252A5"/>
    <w:rsid w:val="009324F8"/>
    <w:rsid w:val="00936A21"/>
    <w:rsid w:val="00937F6D"/>
    <w:rsid w:val="009529AD"/>
    <w:rsid w:val="009542B5"/>
    <w:rsid w:val="009549DE"/>
    <w:rsid w:val="009565EF"/>
    <w:rsid w:val="00960BE5"/>
    <w:rsid w:val="009620A3"/>
    <w:rsid w:val="009671B2"/>
    <w:rsid w:val="009844B0"/>
    <w:rsid w:val="009871AA"/>
    <w:rsid w:val="009962D5"/>
    <w:rsid w:val="009A0C9A"/>
    <w:rsid w:val="009A1F21"/>
    <w:rsid w:val="009C4D95"/>
    <w:rsid w:val="009C4E6D"/>
    <w:rsid w:val="009E1480"/>
    <w:rsid w:val="009E31C9"/>
    <w:rsid w:val="009F1DBC"/>
    <w:rsid w:val="00A0107C"/>
    <w:rsid w:val="00A02884"/>
    <w:rsid w:val="00A03653"/>
    <w:rsid w:val="00A056D6"/>
    <w:rsid w:val="00A132DE"/>
    <w:rsid w:val="00A16DBB"/>
    <w:rsid w:val="00A26167"/>
    <w:rsid w:val="00A26CE3"/>
    <w:rsid w:val="00A31012"/>
    <w:rsid w:val="00A43153"/>
    <w:rsid w:val="00A64173"/>
    <w:rsid w:val="00A64CF4"/>
    <w:rsid w:val="00A71BEA"/>
    <w:rsid w:val="00A828BC"/>
    <w:rsid w:val="00A90684"/>
    <w:rsid w:val="00A93979"/>
    <w:rsid w:val="00AA7C27"/>
    <w:rsid w:val="00AC0208"/>
    <w:rsid w:val="00AC3FCB"/>
    <w:rsid w:val="00AC7AD6"/>
    <w:rsid w:val="00AD4EFF"/>
    <w:rsid w:val="00B058CB"/>
    <w:rsid w:val="00B07137"/>
    <w:rsid w:val="00B12777"/>
    <w:rsid w:val="00B318D2"/>
    <w:rsid w:val="00B37525"/>
    <w:rsid w:val="00B511C8"/>
    <w:rsid w:val="00B52DC5"/>
    <w:rsid w:val="00B54A03"/>
    <w:rsid w:val="00B5537A"/>
    <w:rsid w:val="00B80AF1"/>
    <w:rsid w:val="00B84B33"/>
    <w:rsid w:val="00B8741C"/>
    <w:rsid w:val="00B96825"/>
    <w:rsid w:val="00BB1D49"/>
    <w:rsid w:val="00BB7CF7"/>
    <w:rsid w:val="00BC615C"/>
    <w:rsid w:val="00BC6254"/>
    <w:rsid w:val="00BD118C"/>
    <w:rsid w:val="00BD711F"/>
    <w:rsid w:val="00BF14B7"/>
    <w:rsid w:val="00BF6EA6"/>
    <w:rsid w:val="00C06EE8"/>
    <w:rsid w:val="00C12C32"/>
    <w:rsid w:val="00C176BB"/>
    <w:rsid w:val="00C33597"/>
    <w:rsid w:val="00C33841"/>
    <w:rsid w:val="00C34F3B"/>
    <w:rsid w:val="00C36DE7"/>
    <w:rsid w:val="00C43DA7"/>
    <w:rsid w:val="00C52786"/>
    <w:rsid w:val="00C52C68"/>
    <w:rsid w:val="00C538D3"/>
    <w:rsid w:val="00C6152F"/>
    <w:rsid w:val="00C61B00"/>
    <w:rsid w:val="00C639A4"/>
    <w:rsid w:val="00C86223"/>
    <w:rsid w:val="00C87E13"/>
    <w:rsid w:val="00C90C55"/>
    <w:rsid w:val="00C924E6"/>
    <w:rsid w:val="00C95DCE"/>
    <w:rsid w:val="00C96041"/>
    <w:rsid w:val="00CA01D7"/>
    <w:rsid w:val="00CA14FA"/>
    <w:rsid w:val="00CA404A"/>
    <w:rsid w:val="00CA5318"/>
    <w:rsid w:val="00CA5567"/>
    <w:rsid w:val="00CA5D6E"/>
    <w:rsid w:val="00CC3E12"/>
    <w:rsid w:val="00CC542E"/>
    <w:rsid w:val="00CC6B15"/>
    <w:rsid w:val="00CC6FFC"/>
    <w:rsid w:val="00CD0698"/>
    <w:rsid w:val="00CD2464"/>
    <w:rsid w:val="00CE057A"/>
    <w:rsid w:val="00D03A39"/>
    <w:rsid w:val="00D159C0"/>
    <w:rsid w:val="00D17A05"/>
    <w:rsid w:val="00D2171A"/>
    <w:rsid w:val="00D21BD9"/>
    <w:rsid w:val="00D25756"/>
    <w:rsid w:val="00D407F8"/>
    <w:rsid w:val="00D421B0"/>
    <w:rsid w:val="00D50965"/>
    <w:rsid w:val="00D51ADA"/>
    <w:rsid w:val="00D51D20"/>
    <w:rsid w:val="00D6547F"/>
    <w:rsid w:val="00D7421D"/>
    <w:rsid w:val="00D8180E"/>
    <w:rsid w:val="00D8477C"/>
    <w:rsid w:val="00D972C5"/>
    <w:rsid w:val="00DA609E"/>
    <w:rsid w:val="00DB433D"/>
    <w:rsid w:val="00DC137C"/>
    <w:rsid w:val="00DC1D66"/>
    <w:rsid w:val="00DE06A2"/>
    <w:rsid w:val="00DF7DF6"/>
    <w:rsid w:val="00E023CF"/>
    <w:rsid w:val="00E115A7"/>
    <w:rsid w:val="00E315A9"/>
    <w:rsid w:val="00E318CC"/>
    <w:rsid w:val="00E436C6"/>
    <w:rsid w:val="00E50D68"/>
    <w:rsid w:val="00E76FB2"/>
    <w:rsid w:val="00E82157"/>
    <w:rsid w:val="00E8612D"/>
    <w:rsid w:val="00E96F29"/>
    <w:rsid w:val="00EA45EB"/>
    <w:rsid w:val="00EA5C17"/>
    <w:rsid w:val="00EA7E93"/>
    <w:rsid w:val="00EB2FDD"/>
    <w:rsid w:val="00EC0678"/>
    <w:rsid w:val="00ED02E8"/>
    <w:rsid w:val="00ED1A65"/>
    <w:rsid w:val="00ED557E"/>
    <w:rsid w:val="00EF385F"/>
    <w:rsid w:val="00EF46D8"/>
    <w:rsid w:val="00F011A0"/>
    <w:rsid w:val="00F01F53"/>
    <w:rsid w:val="00F049D7"/>
    <w:rsid w:val="00F06C98"/>
    <w:rsid w:val="00F10760"/>
    <w:rsid w:val="00F12C06"/>
    <w:rsid w:val="00F23414"/>
    <w:rsid w:val="00F248A1"/>
    <w:rsid w:val="00F34F93"/>
    <w:rsid w:val="00F94A86"/>
    <w:rsid w:val="00FA1B44"/>
    <w:rsid w:val="00FC33DE"/>
    <w:rsid w:val="00FC36E4"/>
    <w:rsid w:val="00FD4EF0"/>
    <w:rsid w:val="00FE10DD"/>
    <w:rsid w:val="00FE5606"/>
    <w:rsid w:val="00FE5739"/>
    <w:rsid w:val="00FE6C31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012"/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A31012"/>
    <w:pPr>
      <w:keepNext/>
      <w:outlineLvl w:val="0"/>
    </w:pPr>
    <w:rPr>
      <w:rFonts w:ascii="Officina Sans" w:hAnsi="Officina Sans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F79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61B0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61B00"/>
    <w:pPr>
      <w:tabs>
        <w:tab w:val="center" w:pos="4819"/>
        <w:tab w:val="right" w:pos="9638"/>
      </w:tabs>
    </w:pPr>
  </w:style>
  <w:style w:type="paragraph" w:customStyle="1" w:styleId="Ml-tekst">
    <w:name w:val="Mål - tekst"/>
    <w:basedOn w:val="Normal"/>
    <w:link w:val="Ml-tekstTegn"/>
    <w:rsid w:val="00C61B00"/>
    <w:rPr>
      <w:szCs w:val="20"/>
    </w:rPr>
  </w:style>
  <w:style w:type="paragraph" w:customStyle="1" w:styleId="Ml-hovedoverskrift">
    <w:name w:val="Mål - hovedoverskrift"/>
    <w:basedOn w:val="Ml-tekst"/>
    <w:next w:val="Ml-tekst"/>
    <w:rsid w:val="00C61B00"/>
    <w:rPr>
      <w:b/>
      <w:sz w:val="24"/>
    </w:rPr>
  </w:style>
  <w:style w:type="paragraph" w:customStyle="1" w:styleId="Ml-punktopstilling">
    <w:name w:val="Mål - punktopstilling"/>
    <w:basedOn w:val="Ml-tekst"/>
    <w:next w:val="Ml-tekst"/>
    <w:rsid w:val="00AC3FCB"/>
    <w:pPr>
      <w:numPr>
        <w:numId w:val="1"/>
      </w:numPr>
    </w:pPr>
  </w:style>
  <w:style w:type="paragraph" w:customStyle="1" w:styleId="Ml-afsnitsoverskrift">
    <w:name w:val="Mål - afsnitsoverskrift"/>
    <w:basedOn w:val="Ml-tekst"/>
    <w:next w:val="Ml-tekst"/>
    <w:rsid w:val="009542B5"/>
    <w:rPr>
      <w:b/>
      <w:sz w:val="22"/>
    </w:rPr>
  </w:style>
  <w:style w:type="paragraph" w:customStyle="1" w:styleId="Typografi1">
    <w:name w:val="Typografi1"/>
    <w:basedOn w:val="Normal"/>
    <w:rsid w:val="009542B5"/>
    <w:rPr>
      <w:b/>
      <w:sz w:val="22"/>
      <w:szCs w:val="20"/>
    </w:rPr>
  </w:style>
  <w:style w:type="paragraph" w:customStyle="1" w:styleId="Ml-omrdeoverskrift">
    <w:name w:val="Mål - områdeoverskrift"/>
    <w:basedOn w:val="Ml-tekst"/>
    <w:next w:val="Ml-tekst"/>
    <w:rsid w:val="00633FFD"/>
    <w:rPr>
      <w:b/>
    </w:rPr>
  </w:style>
  <w:style w:type="paragraph" w:customStyle="1" w:styleId="teksten">
    <w:name w:val="teksten"/>
    <w:link w:val="tekstenTegn"/>
    <w:rsid w:val="00E023CF"/>
    <w:rPr>
      <w:rFonts w:ascii="Officina Sans" w:hAnsi="Officina Sans"/>
      <w:noProof/>
      <w:sz w:val="24"/>
    </w:rPr>
  </w:style>
  <w:style w:type="paragraph" w:customStyle="1" w:styleId="hovedoverskrift">
    <w:name w:val="hovedoverskrift"/>
    <w:next w:val="teksten"/>
    <w:rsid w:val="00E023CF"/>
    <w:rPr>
      <w:rFonts w:ascii="Officina Sans" w:hAnsi="Officina Sans"/>
      <w:b/>
      <w:noProof/>
      <w:sz w:val="28"/>
    </w:rPr>
  </w:style>
  <w:style w:type="paragraph" w:styleId="Almindeligtekst">
    <w:name w:val="Plain Text"/>
    <w:basedOn w:val="Normal"/>
    <w:rsid w:val="00E023CF"/>
    <w:rPr>
      <w:rFonts w:ascii="Courier New" w:hAnsi="Courier New"/>
      <w:szCs w:val="20"/>
    </w:rPr>
  </w:style>
  <w:style w:type="paragraph" w:customStyle="1" w:styleId="TypografiMl-punktopstillingEfter6pkt">
    <w:name w:val="Typografi Mål - punktopstilling + Efter:  6 pkt."/>
    <w:basedOn w:val="Ml-punktopstilling"/>
    <w:rsid w:val="00E023CF"/>
    <w:pPr>
      <w:spacing w:after="120"/>
    </w:pPr>
  </w:style>
  <w:style w:type="paragraph" w:customStyle="1" w:styleId="afsnitsoverskrift">
    <w:name w:val="afsnitsoverskrift"/>
    <w:next w:val="teksten"/>
    <w:link w:val="afsnitsoverskriftTegn"/>
    <w:rsid w:val="007116BE"/>
    <w:rPr>
      <w:rFonts w:ascii="Officina Sans" w:hAnsi="Officina Sans"/>
      <w:b/>
      <w:noProof/>
      <w:sz w:val="24"/>
    </w:rPr>
  </w:style>
  <w:style w:type="character" w:styleId="Kommentarhenvisning">
    <w:name w:val="annotation reference"/>
    <w:basedOn w:val="Standardskrifttypeiafsnit"/>
    <w:semiHidden/>
    <w:rsid w:val="007116BE"/>
    <w:rPr>
      <w:sz w:val="16"/>
      <w:szCs w:val="16"/>
    </w:rPr>
  </w:style>
  <w:style w:type="paragraph" w:customStyle="1" w:styleId="underunderoverskrift">
    <w:name w:val="underunderoverskrift"/>
    <w:basedOn w:val="Normal"/>
    <w:rsid w:val="007116BE"/>
    <w:pPr>
      <w:keepNext/>
      <w:spacing w:after="60" w:line="260" w:lineRule="exact"/>
    </w:pPr>
    <w:rPr>
      <w:i/>
      <w:sz w:val="22"/>
    </w:rPr>
  </w:style>
  <w:style w:type="paragraph" w:styleId="Markeringsbobletekst">
    <w:name w:val="Balloon Text"/>
    <w:basedOn w:val="Normal"/>
    <w:semiHidden/>
    <w:rsid w:val="00C90C5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semiHidden/>
    <w:rsid w:val="000F7939"/>
    <w:rPr>
      <w:rFonts w:ascii="Cambria" w:eastAsia="Times New Roman" w:hAnsi="Cambria" w:cs="Times New Roman"/>
      <w:b/>
      <w:bCs/>
      <w:sz w:val="26"/>
      <w:szCs w:val="26"/>
    </w:rPr>
  </w:style>
  <w:style w:type="paragraph" w:styleId="Listeafsnit">
    <w:name w:val="List Paragraph"/>
    <w:basedOn w:val="Normal"/>
    <w:uiPriority w:val="34"/>
    <w:qFormat/>
    <w:rsid w:val="00EA7E93"/>
    <w:pPr>
      <w:ind w:left="1304"/>
    </w:pPr>
  </w:style>
  <w:style w:type="character" w:customStyle="1" w:styleId="Ml-tekstTegn">
    <w:name w:val="Mål - tekst Tegn"/>
    <w:basedOn w:val="Standardskrifttypeiafsnit"/>
    <w:link w:val="Ml-tekst"/>
    <w:rsid w:val="009671B2"/>
    <w:rPr>
      <w:rFonts w:ascii="Verdana" w:hAnsi="Verdana"/>
    </w:rPr>
  </w:style>
  <w:style w:type="table" w:styleId="Tabel-Gitter">
    <w:name w:val="Table Grid"/>
    <w:basedOn w:val="Tabel-Normal"/>
    <w:rsid w:val="0092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verskrift">
    <w:name w:val="TOC Heading"/>
    <w:basedOn w:val="Overskrift1"/>
    <w:next w:val="Normal"/>
    <w:uiPriority w:val="39"/>
    <w:unhideWhenUsed/>
    <w:qFormat/>
    <w:rsid w:val="00C06EE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C06EE8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C06EE8"/>
    <w:rPr>
      <w:color w:val="0000FF" w:themeColor="hyperlink"/>
      <w:u w:val="single"/>
    </w:rPr>
  </w:style>
  <w:style w:type="character" w:customStyle="1" w:styleId="tekstenTegn">
    <w:name w:val="teksten Tegn"/>
    <w:basedOn w:val="Standardskrifttypeiafsnit"/>
    <w:link w:val="teksten"/>
    <w:rsid w:val="00B8741C"/>
    <w:rPr>
      <w:rFonts w:ascii="Officina Sans" w:hAnsi="Officina Sans"/>
      <w:noProof/>
      <w:sz w:val="24"/>
    </w:rPr>
  </w:style>
  <w:style w:type="character" w:customStyle="1" w:styleId="afsnitsoverskriftTegn">
    <w:name w:val="afsnitsoverskrift Tegn"/>
    <w:basedOn w:val="Standardskrifttypeiafsnit"/>
    <w:link w:val="afsnitsoverskrift"/>
    <w:rsid w:val="00CD2464"/>
    <w:rPr>
      <w:rFonts w:ascii="Officina Sans" w:hAnsi="Officina Sans"/>
      <w:b/>
      <w:noProof/>
      <w:sz w:val="24"/>
    </w:rPr>
  </w:style>
  <w:style w:type="paragraph" w:customStyle="1" w:styleId="Default">
    <w:name w:val="Default"/>
    <w:rsid w:val="00B511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mmentartekst">
    <w:name w:val="annotation text"/>
    <w:basedOn w:val="Normal"/>
    <w:link w:val="KommentartekstTegn"/>
    <w:rsid w:val="003B5AE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B5AE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3B5AE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B5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r1\c-si\Center\Centralt\&#216;konomiteam\Budget\Budget%202016-2019\40.39%20Klub\M&#229;l%20or%20rammer%20-%20B2016-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title>
      <c:tx>
        <c:rich>
          <a:bodyPr/>
          <a:lstStyle/>
          <a:p>
            <a:pPr>
              <a:defRPr/>
            </a:pPr>
            <a:r>
              <a:rPr lang="en-US"/>
              <a:t>Budget 2016</a:t>
            </a:r>
          </a:p>
          <a:p>
            <a:pPr>
              <a:defRPr/>
            </a:pPr>
            <a:r>
              <a:rPr lang="en-US" sz="1200"/>
              <a:t>Fordeling af udgifter</a:t>
            </a:r>
          </a:p>
        </c:rich>
      </c:tx>
      <c:layout>
        <c:manualLayout>
          <c:xMode val="edge"/>
          <c:yMode val="edge"/>
          <c:x val="0.57120000000000004"/>
          <c:y val="5.3511705685618728E-2"/>
        </c:manualLayout>
      </c:layout>
    </c:title>
    <c:plotArea>
      <c:layout>
        <c:manualLayout>
          <c:layoutTarget val="inner"/>
          <c:xMode val="edge"/>
          <c:yMode val="edge"/>
          <c:x val="4.3797238388679716E-2"/>
          <c:y val="7.1592973955178912E-2"/>
          <c:w val="0.48277165354330709"/>
          <c:h val="0.92840702604482161"/>
        </c:manualLayout>
      </c:layout>
      <c:pieChart>
        <c:varyColors val="1"/>
        <c:ser>
          <c:idx val="0"/>
          <c:order val="0"/>
          <c:tx>
            <c:strRef>
              <c:f>'Mål og rammer'!$D$33</c:f>
              <c:strCache>
                <c:ptCount val="1"/>
                <c:pt idx="0">
                  <c:v>B2016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100" b="1" baseline="0"/>
                </a:pPr>
                <a:endParaRPr lang="da-DK"/>
              </a:p>
            </c:txPr>
            <c:showVal val="1"/>
            <c:showLeaderLines val="1"/>
          </c:dLbls>
          <c:cat>
            <c:strRef>
              <c:f>'Mål og rammer'!$A$34:$A$39</c:f>
              <c:strCache>
                <c:ptCount val="6"/>
                <c:pt idx="0">
                  <c:v>Fritidsklub</c:v>
                </c:pt>
                <c:pt idx="1">
                  <c:v>Ungdomsklub</c:v>
                </c:pt>
                <c:pt idx="2">
                  <c:v>Høretilbud</c:v>
                </c:pt>
                <c:pt idx="3">
                  <c:v>SSP</c:v>
                </c:pt>
                <c:pt idx="4">
                  <c:v>Myndighedsudgifter</c:v>
                </c:pt>
                <c:pt idx="5">
                  <c:v>Øvrige-fællesudgifter</c:v>
                </c:pt>
              </c:strCache>
            </c:strRef>
          </c:cat>
          <c:val>
            <c:numRef>
              <c:f>'Mål og rammer'!$D$34:$D$39</c:f>
              <c:numCache>
                <c:formatCode>0.0%</c:formatCode>
                <c:ptCount val="6"/>
                <c:pt idx="0">
                  <c:v>0.68139325452052246</c:v>
                </c:pt>
                <c:pt idx="1">
                  <c:v>0.15858826177788274</c:v>
                </c:pt>
                <c:pt idx="2">
                  <c:v>-9.7876753635155814E-3</c:v>
                </c:pt>
                <c:pt idx="3">
                  <c:v>5.5841661488973425E-2</c:v>
                </c:pt>
                <c:pt idx="4">
                  <c:v>6.2914476724996532E-2</c:v>
                </c:pt>
                <c:pt idx="5">
                  <c:v>5.1050020851141124E-2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803012666894962"/>
          <c:y val="0.47592201476487733"/>
          <c:w val="0.32075096731455494"/>
          <c:h val="0.44492314714841258"/>
        </c:manualLayout>
      </c:layout>
      <c:txPr>
        <a:bodyPr/>
        <a:lstStyle/>
        <a:p>
          <a:pPr>
            <a:defRPr sz="1100" baseline="0"/>
          </a:pPr>
          <a:endParaRPr lang="da-DK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9FE6-8D39-4954-B4BE-F04C3BA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ramme 50.52</vt:lpstr>
    </vt:vector>
  </TitlesOfParts>
  <Company>Ballerup Kommune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 50.52</dc:title>
  <dc:creator>Mikkel Bo Jensen</dc:creator>
  <cp:lastModifiedBy>mhar</cp:lastModifiedBy>
  <cp:revision>2</cp:revision>
  <cp:lastPrinted>2014-09-09T08:58:00Z</cp:lastPrinted>
  <dcterms:created xsi:type="dcterms:W3CDTF">2015-10-21T11:40:00Z</dcterms:created>
  <dcterms:modified xsi:type="dcterms:W3CDTF">2015-10-21T11:40:00Z</dcterms:modified>
</cp:coreProperties>
</file>