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word/diagrams/quickStyle2.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Default Extension="jpeg" ContentType="image/jpeg"/>
  <Default Extension="wmf" ContentType="image/x-wmf"/>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diagrams/drawing1.xml" ContentType="application/vnd.ms-office.drawingml.diagramDrawing+xml"/>
  <Override PartName="/word/diagrams/drawing2.xml" ContentType="application/vnd.ms-office.drawingml.diagramDrawing+xml"/>
  <Override PartName="/word/charts/chart6.xml" ContentType="application/vnd.openxmlformats-officedocument.drawingml.chart+xml"/>
  <Override PartName="/word/charts/chart7.xml" ContentType="application/vnd.openxmlformats-officedocument.drawingml.chart+xml"/>
  <Override PartName="/word/footer1.xml" ContentType="application/vnd.openxmlformats-officedocument.wordprocessingml.footer+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header2.xml" ContentType="application/vnd.openxmlformats-officedocument.wordprocessingml.header+xml"/>
  <Override PartName="/word/charts/chart3.xml" ContentType="application/vnd.openxmlformats-officedocument.drawingml.chart+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word/diagrams/layout1.xml" ContentType="application/vnd.openxmlformats-officedocument.drawingml.diagramLayout+xml"/>
  <Override PartName="/word/diagrams/layout2.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ayout w:type="fixed"/>
        <w:tblCellMar>
          <w:left w:w="70" w:type="dxa"/>
          <w:right w:w="70" w:type="dxa"/>
        </w:tblCellMar>
        <w:tblLook w:val="0000"/>
      </w:tblPr>
      <w:tblGrid>
        <w:gridCol w:w="794"/>
        <w:gridCol w:w="4678"/>
      </w:tblGrid>
      <w:tr w:rsidR="0089092F">
        <w:tc>
          <w:tcPr>
            <w:tcW w:w="794" w:type="dxa"/>
          </w:tcPr>
          <w:p w:rsidR="00B17F7C" w:rsidRPr="000D1953" w:rsidRDefault="00B17F7C">
            <w:pPr>
              <w:ind w:right="-1774"/>
              <w:rPr>
                <w:color w:val="666666"/>
                <w:sz w:val="16"/>
                <w:szCs w:val="16"/>
              </w:rPr>
            </w:pPr>
          </w:p>
        </w:tc>
        <w:tc>
          <w:tcPr>
            <w:tcW w:w="4678" w:type="dxa"/>
          </w:tcPr>
          <w:p w:rsidR="0089092F" w:rsidRPr="00534318" w:rsidRDefault="0089092F">
            <w:pPr>
              <w:ind w:right="-1774"/>
              <w:rPr>
                <w:color w:val="666666"/>
              </w:rPr>
            </w:pPr>
            <w:bookmarkStart w:id="0" w:name="til"/>
            <w:bookmarkEnd w:id="0"/>
          </w:p>
        </w:tc>
      </w:tr>
    </w:tbl>
    <w:p w:rsidR="0089092F" w:rsidRDefault="0089092F">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8D440B" w:rsidRDefault="008D440B">
      <w:pPr>
        <w:ind w:right="-1774"/>
      </w:pPr>
    </w:p>
    <w:p w:rsidR="009C6547" w:rsidRDefault="009C6547">
      <w:pPr>
        <w:ind w:right="-1774"/>
      </w:pPr>
    </w:p>
    <w:p w:rsidR="009C6547" w:rsidRDefault="009C6547">
      <w:pPr>
        <w:ind w:right="-1774"/>
      </w:pPr>
    </w:p>
    <w:p w:rsidR="009C6547" w:rsidRDefault="009C6547">
      <w:pPr>
        <w:ind w:right="-1774"/>
      </w:pPr>
    </w:p>
    <w:p w:rsidR="009C6547" w:rsidRDefault="009C6547">
      <w:pPr>
        <w:ind w:right="-1774"/>
      </w:pPr>
    </w:p>
    <w:p w:rsidR="008D440B" w:rsidRDefault="008D440B" w:rsidP="008D440B">
      <w:pPr>
        <w:ind w:left="1304"/>
        <w:jc w:val="center"/>
        <w:rPr>
          <w:b/>
          <w:color w:val="808080"/>
          <w:sz w:val="48"/>
          <w:szCs w:val="48"/>
        </w:rPr>
      </w:pPr>
      <w:r w:rsidRPr="00013FA5">
        <w:rPr>
          <w:b/>
          <w:color w:val="808080"/>
          <w:sz w:val="48"/>
          <w:szCs w:val="48"/>
        </w:rPr>
        <w:t>Notat</w:t>
      </w:r>
    </w:p>
    <w:p w:rsidR="008D440B" w:rsidRDefault="008D440B" w:rsidP="008D440B">
      <w:pPr>
        <w:ind w:left="1304"/>
        <w:jc w:val="center"/>
        <w:rPr>
          <w:b/>
          <w:color w:val="808080"/>
          <w:sz w:val="48"/>
          <w:szCs w:val="48"/>
        </w:rPr>
      </w:pPr>
    </w:p>
    <w:p w:rsidR="008D440B" w:rsidRPr="00C31F08" w:rsidRDefault="008D440B" w:rsidP="008D440B">
      <w:pPr>
        <w:spacing w:line="260" w:lineRule="exact"/>
        <w:ind w:left="1304"/>
        <w:jc w:val="center"/>
        <w:rPr>
          <w:b/>
          <w:sz w:val="26"/>
          <w:szCs w:val="26"/>
        </w:rPr>
      </w:pPr>
      <w:r w:rsidRPr="00C31F08">
        <w:rPr>
          <w:b/>
          <w:sz w:val="26"/>
          <w:szCs w:val="26"/>
        </w:rPr>
        <w:t>Demografi- &amp; Budgetmodellen (DBM)</w:t>
      </w:r>
    </w:p>
    <w:p w:rsidR="008D440B" w:rsidRDefault="008D440B" w:rsidP="008D440B">
      <w:pPr>
        <w:spacing w:line="260" w:lineRule="exact"/>
        <w:ind w:left="1304"/>
        <w:jc w:val="center"/>
        <w:rPr>
          <w:b/>
        </w:rPr>
      </w:pPr>
    </w:p>
    <w:p w:rsidR="008D440B" w:rsidRPr="00C31F08" w:rsidRDefault="008D440B" w:rsidP="008D440B">
      <w:pPr>
        <w:spacing w:line="260" w:lineRule="exact"/>
        <w:ind w:left="1304"/>
        <w:jc w:val="center"/>
        <w:rPr>
          <w:b/>
          <w:sz w:val="24"/>
          <w:szCs w:val="24"/>
          <w:u w:val="single"/>
        </w:rPr>
      </w:pPr>
      <w:r w:rsidRPr="00C31F08">
        <w:rPr>
          <w:b/>
          <w:sz w:val="24"/>
          <w:szCs w:val="24"/>
          <w:u w:val="single"/>
        </w:rPr>
        <w:t>Resultater</w:t>
      </w:r>
      <w:r w:rsidR="00A718BD" w:rsidRPr="00C31F08">
        <w:rPr>
          <w:b/>
          <w:sz w:val="24"/>
          <w:szCs w:val="24"/>
          <w:u w:val="single"/>
        </w:rPr>
        <w:t xml:space="preserve"> og Udgifter</w:t>
      </w:r>
    </w:p>
    <w:p w:rsidR="008D440B" w:rsidRDefault="008D440B" w:rsidP="008D440B">
      <w:pPr>
        <w:spacing w:line="260" w:lineRule="exact"/>
        <w:ind w:left="1304"/>
        <w:jc w:val="center"/>
        <w:rPr>
          <w:b/>
        </w:rPr>
      </w:pPr>
    </w:p>
    <w:p w:rsidR="008D440B" w:rsidRDefault="008D440B" w:rsidP="008D440B">
      <w:pPr>
        <w:spacing w:line="260" w:lineRule="exact"/>
        <w:ind w:left="1304"/>
        <w:jc w:val="center"/>
        <w:rPr>
          <w:b/>
        </w:rPr>
      </w:pPr>
    </w:p>
    <w:p w:rsidR="008D440B" w:rsidRDefault="008D440B" w:rsidP="008D440B">
      <w:pPr>
        <w:spacing w:line="260" w:lineRule="exact"/>
        <w:ind w:left="1304"/>
        <w:jc w:val="center"/>
        <w:rPr>
          <w:b/>
        </w:rPr>
      </w:pPr>
    </w:p>
    <w:p w:rsidR="008D440B" w:rsidRDefault="008D440B" w:rsidP="008D440B">
      <w:pPr>
        <w:spacing w:line="260" w:lineRule="exact"/>
        <w:ind w:left="1304"/>
        <w:jc w:val="center"/>
        <w:rPr>
          <w:b/>
        </w:rPr>
      </w:pPr>
    </w:p>
    <w:p w:rsidR="008D440B" w:rsidRDefault="008D440B" w:rsidP="008D440B">
      <w:pPr>
        <w:spacing w:line="260" w:lineRule="exact"/>
        <w:ind w:left="1304"/>
        <w:jc w:val="center"/>
        <w:rPr>
          <w:b/>
        </w:rPr>
      </w:pPr>
    </w:p>
    <w:p w:rsidR="008D440B" w:rsidRDefault="008D440B" w:rsidP="008D440B">
      <w:pPr>
        <w:spacing w:line="260" w:lineRule="exact"/>
        <w:ind w:left="1304"/>
        <w:jc w:val="center"/>
        <w:rPr>
          <w:b/>
        </w:rPr>
      </w:pPr>
      <w:r>
        <w:rPr>
          <w:b/>
        </w:rPr>
        <w:t>(Hjemmeplejen)</w:t>
      </w:r>
    </w:p>
    <w:p w:rsidR="008D440B" w:rsidRDefault="008D440B" w:rsidP="008D440B">
      <w:pPr>
        <w:spacing w:line="260" w:lineRule="exact"/>
        <w:ind w:left="1304"/>
        <w:jc w:val="center"/>
        <w:rPr>
          <w:b/>
        </w:rPr>
      </w:pPr>
      <w:r>
        <w:rPr>
          <w:b/>
        </w:rPr>
        <w:t>(Plejeboliger)</w:t>
      </w:r>
    </w:p>
    <w:p w:rsidR="008D440B" w:rsidRDefault="008D440B" w:rsidP="008D440B">
      <w:pPr>
        <w:spacing w:line="260" w:lineRule="exact"/>
        <w:ind w:left="1304"/>
        <w:jc w:val="center"/>
        <w:rPr>
          <w:b/>
        </w:rPr>
      </w:pPr>
      <w:r>
        <w:rPr>
          <w:b/>
        </w:rPr>
        <w:t>(</w:t>
      </w:r>
      <w:proofErr w:type="spellStart"/>
      <w:r w:rsidR="00BB6251">
        <w:rPr>
          <w:b/>
        </w:rPr>
        <w:t>Korttidsboliger</w:t>
      </w:r>
      <w:proofErr w:type="spellEnd"/>
      <w:r>
        <w:rPr>
          <w:b/>
        </w:rPr>
        <w:t>)</w:t>
      </w:r>
    </w:p>
    <w:p w:rsidR="008D440B" w:rsidRDefault="008D440B" w:rsidP="008D440B">
      <w:pPr>
        <w:spacing w:line="260" w:lineRule="exact"/>
        <w:ind w:left="1304"/>
        <w:jc w:val="center"/>
        <w:rPr>
          <w:b/>
        </w:rPr>
      </w:pPr>
    </w:p>
    <w:p w:rsidR="008D440B" w:rsidRDefault="008D440B" w:rsidP="008D440B">
      <w:pPr>
        <w:ind w:left="1304" w:right="-1774"/>
      </w:pPr>
    </w:p>
    <w:p w:rsidR="008D440B" w:rsidRDefault="008D440B" w:rsidP="008D440B">
      <w:pPr>
        <w:ind w:left="1304" w:right="-1774"/>
      </w:pPr>
    </w:p>
    <w:p w:rsidR="008D440B" w:rsidRDefault="008D440B">
      <w:pPr>
        <w:ind w:right="-1774"/>
      </w:pPr>
    </w:p>
    <w:p w:rsidR="008D440B" w:rsidRPr="00076CD0" w:rsidRDefault="008D440B">
      <w:pPr>
        <w:ind w:right="-1774"/>
      </w:pPr>
    </w:p>
    <w:tbl>
      <w:tblPr>
        <w:tblW w:w="0" w:type="auto"/>
        <w:tblLayout w:type="fixed"/>
        <w:tblCellMar>
          <w:left w:w="70" w:type="dxa"/>
          <w:right w:w="70" w:type="dxa"/>
        </w:tblCellMar>
        <w:tblLook w:val="0000"/>
      </w:tblPr>
      <w:tblGrid>
        <w:gridCol w:w="779"/>
        <w:gridCol w:w="4678"/>
      </w:tblGrid>
      <w:tr w:rsidR="0089092F">
        <w:tc>
          <w:tcPr>
            <w:tcW w:w="779" w:type="dxa"/>
          </w:tcPr>
          <w:p w:rsidR="0089092F" w:rsidRPr="00534318" w:rsidRDefault="0089092F">
            <w:pPr>
              <w:ind w:right="-1774"/>
              <w:rPr>
                <w:color w:val="666666"/>
                <w:sz w:val="16"/>
                <w:szCs w:val="16"/>
              </w:rPr>
            </w:pPr>
            <w:bookmarkStart w:id="1" w:name="C2"/>
            <w:bookmarkEnd w:id="1"/>
          </w:p>
        </w:tc>
        <w:tc>
          <w:tcPr>
            <w:tcW w:w="4678" w:type="dxa"/>
          </w:tcPr>
          <w:p w:rsidR="00534318" w:rsidRPr="00534318" w:rsidRDefault="00534318">
            <w:pPr>
              <w:ind w:right="-1774"/>
              <w:rPr>
                <w:color w:val="666666"/>
              </w:rPr>
            </w:pPr>
            <w:bookmarkStart w:id="2" w:name="kopi"/>
            <w:bookmarkEnd w:id="2"/>
          </w:p>
        </w:tc>
      </w:tr>
    </w:tbl>
    <w:p w:rsidR="0089092F" w:rsidRPr="003E0C38" w:rsidRDefault="0089092F" w:rsidP="003E0C38">
      <w:pPr>
        <w:ind w:right="-83"/>
        <w:rPr>
          <w:rFonts w:ascii="Cooper Black" w:hAnsi="Cooper Black"/>
          <w:b/>
          <w:sz w:val="2"/>
          <w:szCs w:val="2"/>
        </w:rPr>
      </w:pPr>
      <w:r>
        <w:rPr>
          <w:rFonts w:ascii="Courier" w:hAnsi="Courier"/>
        </w:rPr>
        <w:br w:type="column"/>
      </w:r>
    </w:p>
    <w:tbl>
      <w:tblPr>
        <w:tblW w:w="3828" w:type="dxa"/>
        <w:tblInd w:w="-356" w:type="dxa"/>
        <w:tblBorders>
          <w:top w:val="nil"/>
          <w:left w:val="nil"/>
          <w:bottom w:val="nil"/>
          <w:right w:val="nil"/>
          <w:insideH w:val="nil"/>
          <w:insideV w:val="nil"/>
        </w:tblBorders>
        <w:tblLayout w:type="fixed"/>
        <w:tblCellMar>
          <w:left w:w="70" w:type="dxa"/>
          <w:right w:w="70" w:type="dxa"/>
        </w:tblCellMar>
        <w:tblLook w:val="00AE"/>
      </w:tblPr>
      <w:tblGrid>
        <w:gridCol w:w="3828"/>
      </w:tblGrid>
      <w:tr w:rsidR="0089092F">
        <w:tc>
          <w:tcPr>
            <w:tcW w:w="3828" w:type="dxa"/>
          </w:tcPr>
          <w:p w:rsidR="0089092F" w:rsidRPr="00153D3A" w:rsidRDefault="0033572E" w:rsidP="003E0C38">
            <w:pPr>
              <w:ind w:left="-70"/>
              <w:jc w:val="right"/>
              <w:rPr>
                <w:b/>
                <w:color w:val="666666"/>
                <w:spacing w:val="8"/>
                <w:sz w:val="16"/>
                <w:szCs w:val="16"/>
              </w:rPr>
            </w:pPr>
            <w:bookmarkStart w:id="3" w:name="Forvaltning"/>
            <w:bookmarkEnd w:id="3"/>
            <w:r>
              <w:rPr>
                <w:b/>
                <w:color w:val="666666"/>
                <w:spacing w:val="8"/>
                <w:sz w:val="16"/>
                <w:szCs w:val="16"/>
              </w:rPr>
              <w:t>SOCIAL OG SUNDHED</w:t>
            </w:r>
          </w:p>
        </w:tc>
      </w:tr>
      <w:tr w:rsidR="0089092F">
        <w:trPr>
          <w:trHeight w:hRule="exact" w:val="200"/>
        </w:trPr>
        <w:tc>
          <w:tcPr>
            <w:tcW w:w="3828" w:type="dxa"/>
          </w:tcPr>
          <w:p w:rsidR="0089092F" w:rsidRPr="00153D3A" w:rsidRDefault="0033572E" w:rsidP="003E0C38">
            <w:pPr>
              <w:ind w:left="-70"/>
              <w:jc w:val="right"/>
              <w:rPr>
                <w:b/>
                <w:color w:val="666666"/>
                <w:sz w:val="16"/>
                <w:szCs w:val="16"/>
              </w:rPr>
            </w:pPr>
            <w:bookmarkStart w:id="4" w:name="Afdeling"/>
            <w:bookmarkEnd w:id="4"/>
            <w:r>
              <w:rPr>
                <w:b/>
                <w:color w:val="666666"/>
                <w:sz w:val="16"/>
                <w:szCs w:val="16"/>
              </w:rPr>
              <w:t xml:space="preserve"> </w:t>
            </w:r>
          </w:p>
        </w:tc>
      </w:tr>
      <w:tr w:rsidR="0089092F">
        <w:tc>
          <w:tcPr>
            <w:tcW w:w="3828" w:type="dxa"/>
          </w:tcPr>
          <w:p w:rsidR="0089092F" w:rsidRPr="00153D3A" w:rsidRDefault="0089092F" w:rsidP="003E0C38">
            <w:pPr>
              <w:ind w:left="-70"/>
              <w:jc w:val="right"/>
              <w:rPr>
                <w:b/>
                <w:color w:val="666666"/>
                <w:sz w:val="16"/>
                <w:szCs w:val="16"/>
              </w:rPr>
            </w:pPr>
          </w:p>
        </w:tc>
      </w:tr>
      <w:tr w:rsidR="00B17F7C">
        <w:trPr>
          <w:trHeight w:hRule="exact" w:val="220"/>
        </w:trPr>
        <w:tc>
          <w:tcPr>
            <w:tcW w:w="3828" w:type="dxa"/>
          </w:tcPr>
          <w:p w:rsidR="00B17F7C" w:rsidRPr="00153D3A" w:rsidRDefault="0033572E" w:rsidP="00DD2927">
            <w:pPr>
              <w:ind w:left="-70"/>
              <w:jc w:val="right"/>
              <w:rPr>
                <w:color w:val="666666"/>
                <w:sz w:val="16"/>
                <w:szCs w:val="16"/>
              </w:rPr>
            </w:pPr>
            <w:bookmarkStart w:id="5" w:name="Dato"/>
            <w:bookmarkEnd w:id="5"/>
            <w:r>
              <w:rPr>
                <w:color w:val="666666"/>
                <w:sz w:val="16"/>
                <w:szCs w:val="16"/>
              </w:rPr>
              <w:t xml:space="preserve">Dato: </w:t>
            </w:r>
            <w:r w:rsidR="00DD2927">
              <w:rPr>
                <w:color w:val="666666"/>
                <w:sz w:val="16"/>
                <w:szCs w:val="16"/>
              </w:rPr>
              <w:t>12</w:t>
            </w:r>
            <w:r>
              <w:rPr>
                <w:color w:val="666666"/>
                <w:sz w:val="16"/>
                <w:szCs w:val="16"/>
              </w:rPr>
              <w:t xml:space="preserve">. </w:t>
            </w:r>
            <w:r w:rsidR="00DD2927">
              <w:rPr>
                <w:color w:val="666666"/>
                <w:sz w:val="16"/>
                <w:szCs w:val="16"/>
              </w:rPr>
              <w:t>marts</w:t>
            </w:r>
            <w:r w:rsidR="00696084">
              <w:rPr>
                <w:color w:val="666666"/>
                <w:sz w:val="16"/>
                <w:szCs w:val="16"/>
              </w:rPr>
              <w:t xml:space="preserve"> 2015</w:t>
            </w: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33572E" w:rsidP="003E0C38">
            <w:pPr>
              <w:ind w:left="-70"/>
              <w:jc w:val="right"/>
              <w:rPr>
                <w:color w:val="666666"/>
                <w:sz w:val="16"/>
                <w:szCs w:val="16"/>
              </w:rPr>
            </w:pPr>
            <w:bookmarkStart w:id="6" w:name="B1"/>
            <w:bookmarkEnd w:id="6"/>
            <w:r>
              <w:rPr>
                <w:color w:val="666666"/>
                <w:sz w:val="16"/>
                <w:szCs w:val="16"/>
              </w:rPr>
              <w:t>Tlf. dir.: 4477 3481</w:t>
            </w:r>
          </w:p>
        </w:tc>
      </w:tr>
      <w:tr w:rsidR="00B17F7C">
        <w:tblPrEx>
          <w:tblCellMar>
            <w:left w:w="71" w:type="dxa"/>
            <w:right w:w="71" w:type="dxa"/>
          </w:tblCellMar>
        </w:tblPrEx>
        <w:trPr>
          <w:trHeight w:hRule="exact" w:val="220"/>
        </w:trPr>
        <w:tc>
          <w:tcPr>
            <w:tcW w:w="3828" w:type="dxa"/>
          </w:tcPr>
          <w:p w:rsidR="00B17F7C" w:rsidRPr="00153D3A" w:rsidRDefault="0033572E" w:rsidP="003E0C38">
            <w:pPr>
              <w:ind w:left="-70"/>
              <w:jc w:val="right"/>
              <w:rPr>
                <w:color w:val="666666"/>
                <w:sz w:val="16"/>
                <w:szCs w:val="16"/>
              </w:rPr>
            </w:pPr>
            <w:bookmarkStart w:id="7" w:name="B2"/>
            <w:bookmarkEnd w:id="7"/>
            <w:r>
              <w:rPr>
                <w:color w:val="666666"/>
                <w:sz w:val="16"/>
                <w:szCs w:val="16"/>
              </w:rPr>
              <w:t>E-mail: allh@balk.dk</w:t>
            </w:r>
          </w:p>
        </w:tc>
      </w:tr>
      <w:tr w:rsidR="00B17F7C">
        <w:trPr>
          <w:trHeight w:hRule="exact" w:val="220"/>
        </w:trPr>
        <w:tc>
          <w:tcPr>
            <w:tcW w:w="3828" w:type="dxa"/>
          </w:tcPr>
          <w:p w:rsidR="00B17F7C" w:rsidRPr="00153D3A" w:rsidRDefault="0033572E" w:rsidP="003E0C38">
            <w:pPr>
              <w:ind w:left="-70"/>
              <w:jc w:val="right"/>
              <w:rPr>
                <w:color w:val="666666"/>
                <w:sz w:val="16"/>
                <w:szCs w:val="16"/>
              </w:rPr>
            </w:pPr>
            <w:bookmarkStart w:id="8" w:name="B3"/>
            <w:bookmarkEnd w:id="8"/>
            <w:r>
              <w:rPr>
                <w:color w:val="666666"/>
                <w:sz w:val="16"/>
                <w:szCs w:val="16"/>
              </w:rPr>
              <w:t>Kontakt: Allan Hjort</w:t>
            </w:r>
          </w:p>
        </w:tc>
      </w:tr>
      <w:tr w:rsidR="00B17F7C">
        <w:trPr>
          <w:trHeight w:hRule="exact" w:val="220"/>
        </w:trPr>
        <w:tc>
          <w:tcPr>
            <w:tcW w:w="3828" w:type="dxa"/>
          </w:tcPr>
          <w:p w:rsidR="00B17F7C" w:rsidRPr="00153D3A" w:rsidRDefault="00B17F7C" w:rsidP="003E0C38">
            <w:pPr>
              <w:ind w:left="-70"/>
              <w:jc w:val="right"/>
              <w:rPr>
                <w:color w:val="666666"/>
                <w:sz w:val="16"/>
                <w:szCs w:val="16"/>
              </w:rPr>
            </w:pPr>
            <w:bookmarkStart w:id="9" w:name="B4"/>
            <w:bookmarkEnd w:id="9"/>
          </w:p>
        </w:tc>
      </w:tr>
      <w:tr w:rsidR="00B17F7C">
        <w:trPr>
          <w:trHeight w:hRule="exact" w:val="220"/>
        </w:trPr>
        <w:tc>
          <w:tcPr>
            <w:tcW w:w="3828" w:type="dxa"/>
          </w:tcPr>
          <w:p w:rsidR="00B17F7C" w:rsidRPr="00153D3A" w:rsidRDefault="00BB6251" w:rsidP="003E0C38">
            <w:pPr>
              <w:ind w:left="-70"/>
              <w:jc w:val="right"/>
              <w:rPr>
                <w:color w:val="666666"/>
                <w:sz w:val="16"/>
                <w:szCs w:val="16"/>
              </w:rPr>
            </w:pPr>
            <w:bookmarkStart w:id="10" w:name="B5"/>
            <w:bookmarkEnd w:id="10"/>
            <w:r>
              <w:rPr>
                <w:color w:val="666666"/>
                <w:sz w:val="16"/>
                <w:szCs w:val="16"/>
              </w:rPr>
              <w:t>j.nr. 00.30.00</w:t>
            </w:r>
            <w:proofErr w:type="gramStart"/>
            <w:r>
              <w:rPr>
                <w:color w:val="666666"/>
                <w:sz w:val="16"/>
                <w:szCs w:val="16"/>
              </w:rPr>
              <w:t>.S00</w:t>
            </w:r>
            <w:proofErr w:type="gramEnd"/>
            <w:r>
              <w:rPr>
                <w:color w:val="666666"/>
                <w:sz w:val="16"/>
                <w:szCs w:val="16"/>
              </w:rPr>
              <w:t>-1-15</w:t>
            </w:r>
          </w:p>
        </w:tc>
      </w:tr>
      <w:tr w:rsidR="00B17F7C" w:rsidRPr="00264C43">
        <w:trPr>
          <w:trHeight w:hRule="exact" w:val="220"/>
        </w:trPr>
        <w:tc>
          <w:tcPr>
            <w:tcW w:w="3828" w:type="dxa"/>
          </w:tcPr>
          <w:p w:rsidR="00B17F7C" w:rsidRPr="00153D3A" w:rsidRDefault="00B17F7C" w:rsidP="003E0C38">
            <w:pPr>
              <w:ind w:left="-70"/>
              <w:jc w:val="right"/>
              <w:rPr>
                <w:color w:val="666666"/>
                <w:sz w:val="16"/>
                <w:szCs w:val="16"/>
              </w:rPr>
            </w:pPr>
            <w:bookmarkStart w:id="11" w:name="B6"/>
            <w:bookmarkEnd w:id="11"/>
          </w:p>
        </w:tc>
      </w:tr>
      <w:tr w:rsidR="00B17F7C">
        <w:trPr>
          <w:trHeight w:hRule="exact" w:val="220"/>
        </w:trPr>
        <w:tc>
          <w:tcPr>
            <w:tcW w:w="3828" w:type="dxa"/>
          </w:tcPr>
          <w:p w:rsidR="00B17F7C" w:rsidRPr="00153D3A" w:rsidRDefault="00264C43" w:rsidP="00264C43">
            <w:pPr>
              <w:ind w:left="-70"/>
              <w:rPr>
                <w:color w:val="666666"/>
                <w:sz w:val="16"/>
                <w:szCs w:val="16"/>
              </w:rPr>
            </w:pPr>
            <w:bookmarkStart w:id="12" w:name="B7"/>
            <w:bookmarkEnd w:id="12"/>
            <w:proofErr w:type="spellStart"/>
            <w:r>
              <w:rPr>
                <w:color w:val="666666"/>
                <w:sz w:val="16"/>
                <w:szCs w:val="16"/>
              </w:rPr>
              <w:t>rer</w:t>
            </w:r>
            <w:proofErr w:type="spellEnd"/>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B17F7C">
        <w:trPr>
          <w:trHeight w:hRule="exact" w:val="220"/>
        </w:trPr>
        <w:tc>
          <w:tcPr>
            <w:tcW w:w="3828" w:type="dxa"/>
          </w:tcPr>
          <w:p w:rsidR="00B17F7C" w:rsidRPr="00153D3A" w:rsidRDefault="00B17F7C"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076CD0">
        <w:trPr>
          <w:trHeight w:hRule="exact" w:val="220"/>
        </w:trPr>
        <w:tc>
          <w:tcPr>
            <w:tcW w:w="3828" w:type="dxa"/>
          </w:tcPr>
          <w:p w:rsidR="00076CD0" w:rsidRPr="00153D3A" w:rsidRDefault="00076CD0" w:rsidP="003E0C38">
            <w:pPr>
              <w:ind w:left="-70"/>
              <w:jc w:val="right"/>
              <w:rPr>
                <w:color w:val="666666"/>
                <w:sz w:val="16"/>
                <w:szCs w:val="16"/>
              </w:rPr>
            </w:pPr>
          </w:p>
        </w:tc>
      </w:tr>
      <w:tr w:rsidR="00B17F7C">
        <w:trPr>
          <w:trHeight w:hRule="exact" w:val="220"/>
        </w:trPr>
        <w:tc>
          <w:tcPr>
            <w:tcW w:w="3828" w:type="dxa"/>
          </w:tcPr>
          <w:p w:rsidR="00076CD0" w:rsidRPr="007621E9" w:rsidRDefault="00076CD0" w:rsidP="003E0C38">
            <w:pPr>
              <w:ind w:left="-70"/>
              <w:jc w:val="right"/>
              <w:rPr>
                <w:color w:val="666666"/>
                <w:sz w:val="16"/>
                <w:szCs w:val="16"/>
              </w:rPr>
            </w:pPr>
          </w:p>
        </w:tc>
      </w:tr>
      <w:tr w:rsidR="00076CD0">
        <w:trPr>
          <w:trHeight w:hRule="exact" w:val="220"/>
        </w:trPr>
        <w:tc>
          <w:tcPr>
            <w:tcW w:w="3828" w:type="dxa"/>
          </w:tcPr>
          <w:p w:rsidR="00076CD0" w:rsidRDefault="00076CD0" w:rsidP="00076CD0">
            <w:pPr>
              <w:rPr>
                <w:color w:val="666666"/>
                <w:sz w:val="16"/>
                <w:szCs w:val="16"/>
              </w:rPr>
            </w:pPr>
          </w:p>
        </w:tc>
      </w:tr>
      <w:tr w:rsidR="00076CD0">
        <w:trPr>
          <w:trHeight w:hRule="exact" w:val="220"/>
        </w:trPr>
        <w:tc>
          <w:tcPr>
            <w:tcW w:w="3828" w:type="dxa"/>
          </w:tcPr>
          <w:p w:rsidR="00076CD0" w:rsidRDefault="00076CD0" w:rsidP="00076CD0">
            <w:pPr>
              <w:rPr>
                <w:color w:val="666666"/>
                <w:sz w:val="16"/>
                <w:szCs w:val="16"/>
              </w:rPr>
            </w:pPr>
          </w:p>
        </w:tc>
      </w:tr>
    </w:tbl>
    <w:p w:rsidR="0089092F" w:rsidRDefault="0089092F">
      <w:pPr>
        <w:sectPr w:rsidR="0089092F" w:rsidSect="00EB5A55">
          <w:headerReference w:type="first" r:id="rId8"/>
          <w:footerReference w:type="first" r:id="rId9"/>
          <w:pgSz w:w="11906" w:h="16838" w:code="9"/>
          <w:pgMar w:top="2041" w:right="720" w:bottom="1418" w:left="1701" w:header="709" w:footer="284" w:gutter="0"/>
          <w:cols w:num="2" w:space="284" w:equalWidth="0">
            <w:col w:w="5741" w:space="425"/>
            <w:col w:w="3319"/>
          </w:cols>
          <w:titlePg/>
        </w:sectPr>
      </w:pPr>
    </w:p>
    <w:p w:rsidR="0033572E" w:rsidRDefault="0033572E" w:rsidP="0033572E">
      <w:pPr>
        <w:rPr>
          <w:b/>
          <w:color w:val="808080"/>
          <w:sz w:val="48"/>
          <w:szCs w:val="48"/>
        </w:rPr>
      </w:pPr>
    </w:p>
    <w:sdt>
      <w:sdtPr>
        <w:rPr>
          <w:rFonts w:ascii="Verdana" w:eastAsia="Times New Roman" w:hAnsi="Verdana" w:cs="Times New Roman"/>
          <w:b w:val="0"/>
          <w:bCs w:val="0"/>
          <w:color w:val="auto"/>
          <w:sz w:val="20"/>
          <w:szCs w:val="20"/>
          <w:lang w:eastAsia="da-DK"/>
        </w:rPr>
        <w:id w:val="171707853"/>
        <w:docPartObj>
          <w:docPartGallery w:val="Table of Contents"/>
          <w:docPartUnique/>
        </w:docPartObj>
      </w:sdtPr>
      <w:sdtContent>
        <w:p w:rsidR="004C4C7B" w:rsidRDefault="004C4C7B">
          <w:pPr>
            <w:pStyle w:val="Overskrift"/>
          </w:pPr>
          <w:r>
            <w:t>Indhold</w:t>
          </w:r>
        </w:p>
        <w:p w:rsidR="00482F03" w:rsidRDefault="000B05D0">
          <w:pPr>
            <w:pStyle w:val="Indholdsfortegnelse1"/>
            <w:tabs>
              <w:tab w:val="left" w:pos="400"/>
              <w:tab w:val="right" w:leader="dot" w:pos="8494"/>
            </w:tabs>
            <w:rPr>
              <w:rFonts w:asciiTheme="minorHAnsi" w:eastAsiaTheme="minorEastAsia" w:hAnsiTheme="minorHAnsi" w:cstheme="minorBidi"/>
              <w:noProof/>
              <w:sz w:val="22"/>
              <w:szCs w:val="22"/>
            </w:rPr>
          </w:pPr>
          <w:r>
            <w:fldChar w:fldCharType="begin"/>
          </w:r>
          <w:r w:rsidR="00361D35">
            <w:instrText xml:space="preserve"> TOC \o "1-2" \h \z \u </w:instrText>
          </w:r>
          <w:r>
            <w:fldChar w:fldCharType="separate"/>
          </w:r>
          <w:hyperlink w:anchor="_Toc414960271" w:history="1">
            <w:r w:rsidR="00482F03" w:rsidRPr="00E01C32">
              <w:rPr>
                <w:rStyle w:val="Hyperlink"/>
                <w:noProof/>
              </w:rPr>
              <w:t>1</w:t>
            </w:r>
            <w:r w:rsidR="00482F03">
              <w:rPr>
                <w:rFonts w:asciiTheme="minorHAnsi" w:eastAsiaTheme="minorEastAsia" w:hAnsiTheme="minorHAnsi" w:cstheme="minorBidi"/>
                <w:noProof/>
                <w:sz w:val="22"/>
                <w:szCs w:val="22"/>
              </w:rPr>
              <w:tab/>
            </w:r>
            <w:r w:rsidR="00482F03" w:rsidRPr="00E01C32">
              <w:rPr>
                <w:rStyle w:val="Hyperlink"/>
                <w:noProof/>
              </w:rPr>
              <w:t>Hjemmeplejen</w:t>
            </w:r>
            <w:r w:rsidR="00482F03">
              <w:rPr>
                <w:noProof/>
                <w:webHidden/>
              </w:rPr>
              <w:tab/>
            </w:r>
            <w:r w:rsidR="00482F03">
              <w:rPr>
                <w:noProof/>
                <w:webHidden/>
              </w:rPr>
              <w:fldChar w:fldCharType="begin"/>
            </w:r>
            <w:r w:rsidR="00482F03">
              <w:rPr>
                <w:noProof/>
                <w:webHidden/>
              </w:rPr>
              <w:instrText xml:space="preserve"> PAGEREF _Toc414960271 \h </w:instrText>
            </w:r>
            <w:r w:rsidR="00482F03">
              <w:rPr>
                <w:noProof/>
                <w:webHidden/>
              </w:rPr>
            </w:r>
            <w:r w:rsidR="00482F03">
              <w:rPr>
                <w:noProof/>
                <w:webHidden/>
              </w:rPr>
              <w:fldChar w:fldCharType="separate"/>
            </w:r>
            <w:r w:rsidR="00482F03">
              <w:rPr>
                <w:noProof/>
                <w:webHidden/>
              </w:rPr>
              <w:t>4</w:t>
            </w:r>
            <w:r w:rsidR="00482F03">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2" w:history="1">
            <w:r w:rsidRPr="00E01C32">
              <w:rPr>
                <w:rStyle w:val="Hyperlink"/>
                <w:noProof/>
              </w:rPr>
              <w:t>1.1</w:t>
            </w:r>
            <w:r>
              <w:rPr>
                <w:rFonts w:asciiTheme="minorHAnsi" w:eastAsiaTheme="minorEastAsia" w:hAnsiTheme="minorHAnsi" w:cstheme="minorBidi"/>
                <w:noProof/>
                <w:sz w:val="22"/>
                <w:szCs w:val="22"/>
              </w:rPr>
              <w:tab/>
            </w:r>
            <w:r w:rsidRPr="00E01C32">
              <w:rPr>
                <w:rStyle w:val="Hyperlink"/>
                <w:noProof/>
              </w:rPr>
              <w:t>Sammenfatning</w:t>
            </w:r>
            <w:r>
              <w:rPr>
                <w:noProof/>
                <w:webHidden/>
              </w:rPr>
              <w:tab/>
            </w:r>
            <w:r>
              <w:rPr>
                <w:noProof/>
                <w:webHidden/>
              </w:rPr>
              <w:fldChar w:fldCharType="begin"/>
            </w:r>
            <w:r>
              <w:rPr>
                <w:noProof/>
                <w:webHidden/>
              </w:rPr>
              <w:instrText xml:space="preserve"> PAGEREF _Toc414960272 \h </w:instrText>
            </w:r>
            <w:r>
              <w:rPr>
                <w:noProof/>
                <w:webHidden/>
              </w:rPr>
            </w:r>
            <w:r>
              <w:rPr>
                <w:noProof/>
                <w:webHidden/>
              </w:rPr>
              <w:fldChar w:fldCharType="separate"/>
            </w:r>
            <w:r>
              <w:rPr>
                <w:noProof/>
                <w:webHidden/>
              </w:rPr>
              <w:t>4</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3" w:history="1">
            <w:r w:rsidRPr="00E01C32">
              <w:rPr>
                <w:rStyle w:val="Hyperlink"/>
                <w:noProof/>
              </w:rPr>
              <w:t>1.2</w:t>
            </w:r>
            <w:r>
              <w:rPr>
                <w:rFonts w:asciiTheme="minorHAnsi" w:eastAsiaTheme="minorEastAsia" w:hAnsiTheme="minorHAnsi" w:cstheme="minorBidi"/>
                <w:noProof/>
                <w:sz w:val="22"/>
                <w:szCs w:val="22"/>
              </w:rPr>
              <w:tab/>
            </w:r>
            <w:r w:rsidRPr="00E01C32">
              <w:rPr>
                <w:rStyle w:val="Hyperlink"/>
                <w:noProof/>
              </w:rPr>
              <w:t>Ydelser i Hjemmeplejen</w:t>
            </w:r>
            <w:r>
              <w:rPr>
                <w:noProof/>
                <w:webHidden/>
              </w:rPr>
              <w:tab/>
            </w:r>
            <w:r>
              <w:rPr>
                <w:noProof/>
                <w:webHidden/>
              </w:rPr>
              <w:fldChar w:fldCharType="begin"/>
            </w:r>
            <w:r>
              <w:rPr>
                <w:noProof/>
                <w:webHidden/>
              </w:rPr>
              <w:instrText xml:space="preserve"> PAGEREF _Toc414960273 \h </w:instrText>
            </w:r>
            <w:r>
              <w:rPr>
                <w:noProof/>
                <w:webHidden/>
              </w:rPr>
            </w:r>
            <w:r>
              <w:rPr>
                <w:noProof/>
                <w:webHidden/>
              </w:rPr>
              <w:fldChar w:fldCharType="separate"/>
            </w:r>
            <w:r>
              <w:rPr>
                <w:noProof/>
                <w:webHidden/>
              </w:rPr>
              <w:t>4</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4" w:history="1">
            <w:r w:rsidRPr="00E01C32">
              <w:rPr>
                <w:rStyle w:val="Hyperlink"/>
                <w:noProof/>
              </w:rPr>
              <w:t>1.3</w:t>
            </w:r>
            <w:r>
              <w:rPr>
                <w:rFonts w:asciiTheme="minorHAnsi" w:eastAsiaTheme="minorEastAsia" w:hAnsiTheme="minorHAnsi" w:cstheme="minorBidi"/>
                <w:noProof/>
                <w:sz w:val="22"/>
                <w:szCs w:val="22"/>
              </w:rPr>
              <w:tab/>
            </w:r>
            <w:r w:rsidRPr="00E01C32">
              <w:rPr>
                <w:rStyle w:val="Hyperlink"/>
                <w:noProof/>
              </w:rPr>
              <w:t>Problemet med dag, aften og nat.</w:t>
            </w:r>
            <w:r>
              <w:rPr>
                <w:noProof/>
                <w:webHidden/>
              </w:rPr>
              <w:tab/>
            </w:r>
            <w:r>
              <w:rPr>
                <w:noProof/>
                <w:webHidden/>
              </w:rPr>
              <w:fldChar w:fldCharType="begin"/>
            </w:r>
            <w:r>
              <w:rPr>
                <w:noProof/>
                <w:webHidden/>
              </w:rPr>
              <w:instrText xml:space="preserve"> PAGEREF _Toc414960274 \h </w:instrText>
            </w:r>
            <w:r>
              <w:rPr>
                <w:noProof/>
                <w:webHidden/>
              </w:rPr>
            </w:r>
            <w:r>
              <w:rPr>
                <w:noProof/>
                <w:webHidden/>
              </w:rPr>
              <w:fldChar w:fldCharType="separate"/>
            </w:r>
            <w:r>
              <w:rPr>
                <w:noProof/>
                <w:webHidden/>
              </w:rPr>
              <w:t>5</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5" w:history="1">
            <w:r w:rsidRPr="00E01C32">
              <w:rPr>
                <w:rStyle w:val="Hyperlink"/>
                <w:noProof/>
              </w:rPr>
              <w:t>1.4</w:t>
            </w:r>
            <w:r>
              <w:rPr>
                <w:rFonts w:asciiTheme="minorHAnsi" w:eastAsiaTheme="minorEastAsia" w:hAnsiTheme="minorHAnsi" w:cstheme="minorBidi"/>
                <w:noProof/>
                <w:sz w:val="22"/>
                <w:szCs w:val="22"/>
              </w:rPr>
              <w:tab/>
            </w:r>
            <w:r w:rsidRPr="00E01C32">
              <w:rPr>
                <w:rStyle w:val="Hyperlink"/>
                <w:noProof/>
              </w:rPr>
              <w:t>Problemet med forskelle i ydelsernes tyngde</w:t>
            </w:r>
            <w:r>
              <w:rPr>
                <w:noProof/>
                <w:webHidden/>
              </w:rPr>
              <w:tab/>
            </w:r>
            <w:r>
              <w:rPr>
                <w:noProof/>
                <w:webHidden/>
              </w:rPr>
              <w:fldChar w:fldCharType="begin"/>
            </w:r>
            <w:r>
              <w:rPr>
                <w:noProof/>
                <w:webHidden/>
              </w:rPr>
              <w:instrText xml:space="preserve"> PAGEREF _Toc414960275 \h </w:instrText>
            </w:r>
            <w:r>
              <w:rPr>
                <w:noProof/>
                <w:webHidden/>
              </w:rPr>
            </w:r>
            <w:r>
              <w:rPr>
                <w:noProof/>
                <w:webHidden/>
              </w:rPr>
              <w:fldChar w:fldCharType="separate"/>
            </w:r>
            <w:r>
              <w:rPr>
                <w:noProof/>
                <w:webHidden/>
              </w:rPr>
              <w:t>6</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6" w:history="1">
            <w:r w:rsidRPr="00E01C32">
              <w:rPr>
                <w:rStyle w:val="Hyperlink"/>
                <w:noProof/>
              </w:rPr>
              <w:t>1.5</w:t>
            </w:r>
            <w:r>
              <w:rPr>
                <w:rFonts w:asciiTheme="minorHAnsi" w:eastAsiaTheme="minorEastAsia" w:hAnsiTheme="minorHAnsi" w:cstheme="minorBidi"/>
                <w:noProof/>
                <w:sz w:val="22"/>
                <w:szCs w:val="22"/>
              </w:rPr>
              <w:tab/>
            </w:r>
            <w:r w:rsidRPr="00E01C32">
              <w:rPr>
                <w:rStyle w:val="Hyperlink"/>
                <w:noProof/>
              </w:rPr>
              <w:t>Samlede udgifter i hjemmeplejen 2014-2020</w:t>
            </w:r>
            <w:r>
              <w:rPr>
                <w:noProof/>
                <w:webHidden/>
              </w:rPr>
              <w:tab/>
            </w:r>
            <w:r>
              <w:rPr>
                <w:noProof/>
                <w:webHidden/>
              </w:rPr>
              <w:fldChar w:fldCharType="begin"/>
            </w:r>
            <w:r>
              <w:rPr>
                <w:noProof/>
                <w:webHidden/>
              </w:rPr>
              <w:instrText xml:space="preserve"> PAGEREF _Toc414960276 \h </w:instrText>
            </w:r>
            <w:r>
              <w:rPr>
                <w:noProof/>
                <w:webHidden/>
              </w:rPr>
            </w:r>
            <w:r>
              <w:rPr>
                <w:noProof/>
                <w:webHidden/>
              </w:rPr>
              <w:fldChar w:fldCharType="separate"/>
            </w:r>
            <w:r>
              <w:rPr>
                <w:noProof/>
                <w:webHidden/>
              </w:rPr>
              <w:t>13</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7" w:history="1">
            <w:r w:rsidRPr="00E01C32">
              <w:rPr>
                <w:rStyle w:val="Hyperlink"/>
                <w:noProof/>
              </w:rPr>
              <w:t>1.6</w:t>
            </w:r>
            <w:r>
              <w:rPr>
                <w:rFonts w:asciiTheme="minorHAnsi" w:eastAsiaTheme="minorEastAsia" w:hAnsiTheme="minorHAnsi" w:cstheme="minorBidi"/>
                <w:noProof/>
                <w:sz w:val="22"/>
                <w:szCs w:val="22"/>
              </w:rPr>
              <w:tab/>
            </w:r>
            <w:r w:rsidRPr="00E01C32">
              <w:rPr>
                <w:rStyle w:val="Hyperlink"/>
                <w:noProof/>
              </w:rPr>
              <w:t>Kvalitet</w:t>
            </w:r>
            <w:r>
              <w:rPr>
                <w:noProof/>
                <w:webHidden/>
              </w:rPr>
              <w:tab/>
            </w:r>
            <w:r>
              <w:rPr>
                <w:noProof/>
                <w:webHidden/>
              </w:rPr>
              <w:fldChar w:fldCharType="begin"/>
            </w:r>
            <w:r>
              <w:rPr>
                <w:noProof/>
                <w:webHidden/>
              </w:rPr>
              <w:instrText xml:space="preserve"> PAGEREF _Toc414960277 \h </w:instrText>
            </w:r>
            <w:r>
              <w:rPr>
                <w:noProof/>
                <w:webHidden/>
              </w:rPr>
            </w:r>
            <w:r>
              <w:rPr>
                <w:noProof/>
                <w:webHidden/>
              </w:rPr>
              <w:fldChar w:fldCharType="separate"/>
            </w:r>
            <w:r>
              <w:rPr>
                <w:noProof/>
                <w:webHidden/>
              </w:rPr>
              <w:t>15</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78" w:history="1">
            <w:r w:rsidRPr="00E01C32">
              <w:rPr>
                <w:rStyle w:val="Hyperlink"/>
                <w:noProof/>
              </w:rPr>
              <w:t>1.7</w:t>
            </w:r>
            <w:r>
              <w:rPr>
                <w:rFonts w:asciiTheme="minorHAnsi" w:eastAsiaTheme="minorEastAsia" w:hAnsiTheme="minorHAnsi" w:cstheme="minorBidi"/>
                <w:noProof/>
                <w:sz w:val="22"/>
                <w:szCs w:val="22"/>
              </w:rPr>
              <w:tab/>
            </w:r>
            <w:r w:rsidRPr="00E01C32">
              <w:rPr>
                <w:rStyle w:val="Hyperlink"/>
                <w:noProof/>
              </w:rPr>
              <w:t>Demografi- og Budgetmodel for Hjemmeplejen</w:t>
            </w:r>
            <w:r>
              <w:rPr>
                <w:noProof/>
                <w:webHidden/>
              </w:rPr>
              <w:tab/>
            </w:r>
            <w:r>
              <w:rPr>
                <w:noProof/>
                <w:webHidden/>
              </w:rPr>
              <w:fldChar w:fldCharType="begin"/>
            </w:r>
            <w:r>
              <w:rPr>
                <w:noProof/>
                <w:webHidden/>
              </w:rPr>
              <w:instrText xml:space="preserve"> PAGEREF _Toc414960278 \h </w:instrText>
            </w:r>
            <w:r>
              <w:rPr>
                <w:noProof/>
                <w:webHidden/>
              </w:rPr>
            </w:r>
            <w:r>
              <w:rPr>
                <w:noProof/>
                <w:webHidden/>
              </w:rPr>
              <w:fldChar w:fldCharType="separate"/>
            </w:r>
            <w:r>
              <w:rPr>
                <w:noProof/>
                <w:webHidden/>
              </w:rPr>
              <w:t>15</w:t>
            </w:r>
            <w:r>
              <w:rPr>
                <w:noProof/>
                <w:webHidden/>
              </w:rPr>
              <w:fldChar w:fldCharType="end"/>
            </w:r>
          </w:hyperlink>
        </w:p>
        <w:p w:rsidR="00482F03" w:rsidRDefault="00482F03">
          <w:pPr>
            <w:pStyle w:val="Indholdsfortegnelse1"/>
            <w:tabs>
              <w:tab w:val="left" w:pos="400"/>
              <w:tab w:val="right" w:leader="dot" w:pos="8494"/>
            </w:tabs>
            <w:rPr>
              <w:rFonts w:asciiTheme="minorHAnsi" w:eastAsiaTheme="minorEastAsia" w:hAnsiTheme="minorHAnsi" w:cstheme="minorBidi"/>
              <w:noProof/>
              <w:sz w:val="22"/>
              <w:szCs w:val="22"/>
            </w:rPr>
          </w:pPr>
          <w:hyperlink w:anchor="_Toc414960279" w:history="1">
            <w:r w:rsidRPr="00E01C32">
              <w:rPr>
                <w:rStyle w:val="Hyperlink"/>
                <w:noProof/>
              </w:rPr>
              <w:t>2</w:t>
            </w:r>
            <w:r>
              <w:rPr>
                <w:rFonts w:asciiTheme="minorHAnsi" w:eastAsiaTheme="minorEastAsia" w:hAnsiTheme="minorHAnsi" w:cstheme="minorBidi"/>
                <w:noProof/>
                <w:sz w:val="22"/>
                <w:szCs w:val="22"/>
              </w:rPr>
              <w:tab/>
            </w:r>
            <w:r w:rsidRPr="00E01C32">
              <w:rPr>
                <w:rStyle w:val="Hyperlink"/>
                <w:noProof/>
              </w:rPr>
              <w:t>Plejeboliger</w:t>
            </w:r>
            <w:r>
              <w:rPr>
                <w:noProof/>
                <w:webHidden/>
              </w:rPr>
              <w:tab/>
            </w:r>
            <w:r>
              <w:rPr>
                <w:noProof/>
                <w:webHidden/>
              </w:rPr>
              <w:fldChar w:fldCharType="begin"/>
            </w:r>
            <w:r>
              <w:rPr>
                <w:noProof/>
                <w:webHidden/>
              </w:rPr>
              <w:instrText xml:space="preserve"> PAGEREF _Toc414960279 \h </w:instrText>
            </w:r>
            <w:r>
              <w:rPr>
                <w:noProof/>
                <w:webHidden/>
              </w:rPr>
            </w:r>
            <w:r>
              <w:rPr>
                <w:noProof/>
                <w:webHidden/>
              </w:rPr>
              <w:fldChar w:fldCharType="separate"/>
            </w:r>
            <w:r>
              <w:rPr>
                <w:noProof/>
                <w:webHidden/>
              </w:rPr>
              <w:t>16</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0" w:history="1">
            <w:r w:rsidRPr="00E01C32">
              <w:rPr>
                <w:rStyle w:val="Hyperlink"/>
                <w:noProof/>
              </w:rPr>
              <w:t>2.1</w:t>
            </w:r>
            <w:r>
              <w:rPr>
                <w:rFonts w:asciiTheme="minorHAnsi" w:eastAsiaTheme="minorEastAsia" w:hAnsiTheme="minorHAnsi" w:cstheme="minorBidi"/>
                <w:noProof/>
                <w:sz w:val="22"/>
                <w:szCs w:val="22"/>
              </w:rPr>
              <w:tab/>
            </w:r>
            <w:r w:rsidRPr="00E01C32">
              <w:rPr>
                <w:rStyle w:val="Hyperlink"/>
                <w:noProof/>
              </w:rPr>
              <w:t>Måling af plejeboligbehovet</w:t>
            </w:r>
            <w:r>
              <w:rPr>
                <w:noProof/>
                <w:webHidden/>
              </w:rPr>
              <w:tab/>
            </w:r>
            <w:r>
              <w:rPr>
                <w:noProof/>
                <w:webHidden/>
              </w:rPr>
              <w:fldChar w:fldCharType="begin"/>
            </w:r>
            <w:r>
              <w:rPr>
                <w:noProof/>
                <w:webHidden/>
              </w:rPr>
              <w:instrText xml:space="preserve"> PAGEREF _Toc414960280 \h </w:instrText>
            </w:r>
            <w:r>
              <w:rPr>
                <w:noProof/>
                <w:webHidden/>
              </w:rPr>
            </w:r>
            <w:r>
              <w:rPr>
                <w:noProof/>
                <w:webHidden/>
              </w:rPr>
              <w:fldChar w:fldCharType="separate"/>
            </w:r>
            <w:r>
              <w:rPr>
                <w:noProof/>
                <w:webHidden/>
              </w:rPr>
              <w:t>17</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1" w:history="1">
            <w:r w:rsidRPr="00E01C32">
              <w:rPr>
                <w:rStyle w:val="Hyperlink"/>
                <w:noProof/>
              </w:rPr>
              <w:t>2.2</w:t>
            </w:r>
            <w:r>
              <w:rPr>
                <w:rFonts w:asciiTheme="minorHAnsi" w:eastAsiaTheme="minorEastAsia" w:hAnsiTheme="minorHAnsi" w:cstheme="minorBidi"/>
                <w:noProof/>
                <w:sz w:val="22"/>
                <w:szCs w:val="22"/>
              </w:rPr>
              <w:tab/>
            </w:r>
            <w:r w:rsidRPr="00E01C32">
              <w:rPr>
                <w:rStyle w:val="Hyperlink"/>
                <w:noProof/>
              </w:rPr>
              <w:t>Dækningsgraden</w:t>
            </w:r>
            <w:r>
              <w:rPr>
                <w:noProof/>
                <w:webHidden/>
              </w:rPr>
              <w:tab/>
            </w:r>
            <w:r>
              <w:rPr>
                <w:noProof/>
                <w:webHidden/>
              </w:rPr>
              <w:fldChar w:fldCharType="begin"/>
            </w:r>
            <w:r>
              <w:rPr>
                <w:noProof/>
                <w:webHidden/>
              </w:rPr>
              <w:instrText xml:space="preserve"> PAGEREF _Toc414960281 \h </w:instrText>
            </w:r>
            <w:r>
              <w:rPr>
                <w:noProof/>
                <w:webHidden/>
              </w:rPr>
            </w:r>
            <w:r>
              <w:rPr>
                <w:noProof/>
                <w:webHidden/>
              </w:rPr>
              <w:fldChar w:fldCharType="separate"/>
            </w:r>
            <w:r>
              <w:rPr>
                <w:noProof/>
                <w:webHidden/>
              </w:rPr>
              <w:t>17</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2" w:history="1">
            <w:r w:rsidRPr="00E01C32">
              <w:rPr>
                <w:rStyle w:val="Hyperlink"/>
                <w:noProof/>
              </w:rPr>
              <w:t>2.3</w:t>
            </w:r>
            <w:r>
              <w:rPr>
                <w:rFonts w:asciiTheme="minorHAnsi" w:eastAsiaTheme="minorEastAsia" w:hAnsiTheme="minorHAnsi" w:cstheme="minorBidi"/>
                <w:noProof/>
                <w:sz w:val="22"/>
                <w:szCs w:val="22"/>
              </w:rPr>
              <w:tab/>
            </w:r>
            <w:r w:rsidRPr="00E01C32">
              <w:rPr>
                <w:rStyle w:val="Hyperlink"/>
                <w:noProof/>
              </w:rPr>
              <w:t>Demografi- &amp; Budgetmodellen (DBM)</w:t>
            </w:r>
            <w:r>
              <w:rPr>
                <w:noProof/>
                <w:webHidden/>
              </w:rPr>
              <w:tab/>
            </w:r>
            <w:r>
              <w:rPr>
                <w:noProof/>
                <w:webHidden/>
              </w:rPr>
              <w:fldChar w:fldCharType="begin"/>
            </w:r>
            <w:r>
              <w:rPr>
                <w:noProof/>
                <w:webHidden/>
              </w:rPr>
              <w:instrText xml:space="preserve"> PAGEREF _Toc414960282 \h </w:instrText>
            </w:r>
            <w:r>
              <w:rPr>
                <w:noProof/>
                <w:webHidden/>
              </w:rPr>
            </w:r>
            <w:r>
              <w:rPr>
                <w:noProof/>
                <w:webHidden/>
              </w:rPr>
              <w:fldChar w:fldCharType="separate"/>
            </w:r>
            <w:r>
              <w:rPr>
                <w:noProof/>
                <w:webHidden/>
              </w:rPr>
              <w:t>19</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3" w:history="1">
            <w:r w:rsidRPr="00E01C32">
              <w:rPr>
                <w:rStyle w:val="Hyperlink"/>
                <w:noProof/>
              </w:rPr>
              <w:t>2.4</w:t>
            </w:r>
            <w:r>
              <w:rPr>
                <w:rFonts w:asciiTheme="minorHAnsi" w:eastAsiaTheme="minorEastAsia" w:hAnsiTheme="minorHAnsi" w:cstheme="minorBidi"/>
                <w:noProof/>
                <w:sz w:val="22"/>
                <w:szCs w:val="22"/>
              </w:rPr>
              <w:tab/>
            </w:r>
            <w:r w:rsidRPr="00E01C32">
              <w:rPr>
                <w:rStyle w:val="Hyperlink"/>
                <w:noProof/>
              </w:rPr>
              <w:t>Simulering af udgiftsudvikling</w:t>
            </w:r>
            <w:r>
              <w:rPr>
                <w:noProof/>
                <w:webHidden/>
              </w:rPr>
              <w:tab/>
            </w:r>
            <w:r>
              <w:rPr>
                <w:noProof/>
                <w:webHidden/>
              </w:rPr>
              <w:fldChar w:fldCharType="begin"/>
            </w:r>
            <w:r>
              <w:rPr>
                <w:noProof/>
                <w:webHidden/>
              </w:rPr>
              <w:instrText xml:space="preserve"> PAGEREF _Toc414960283 \h </w:instrText>
            </w:r>
            <w:r>
              <w:rPr>
                <w:noProof/>
                <w:webHidden/>
              </w:rPr>
            </w:r>
            <w:r>
              <w:rPr>
                <w:noProof/>
                <w:webHidden/>
              </w:rPr>
              <w:fldChar w:fldCharType="separate"/>
            </w:r>
            <w:r>
              <w:rPr>
                <w:noProof/>
                <w:webHidden/>
              </w:rPr>
              <w:t>19</w:t>
            </w:r>
            <w:r>
              <w:rPr>
                <w:noProof/>
                <w:webHidden/>
              </w:rPr>
              <w:fldChar w:fldCharType="end"/>
            </w:r>
          </w:hyperlink>
        </w:p>
        <w:p w:rsidR="00482F03" w:rsidRDefault="00482F03">
          <w:pPr>
            <w:pStyle w:val="Indholdsfortegnelse1"/>
            <w:tabs>
              <w:tab w:val="left" w:pos="400"/>
              <w:tab w:val="right" w:leader="dot" w:pos="8494"/>
            </w:tabs>
            <w:rPr>
              <w:rFonts w:asciiTheme="minorHAnsi" w:eastAsiaTheme="minorEastAsia" w:hAnsiTheme="minorHAnsi" w:cstheme="minorBidi"/>
              <w:noProof/>
              <w:sz w:val="22"/>
              <w:szCs w:val="22"/>
            </w:rPr>
          </w:pPr>
          <w:hyperlink w:anchor="_Toc414960284" w:history="1">
            <w:r w:rsidRPr="00E01C32">
              <w:rPr>
                <w:rStyle w:val="Hyperlink"/>
                <w:noProof/>
              </w:rPr>
              <w:t>3</w:t>
            </w:r>
            <w:r>
              <w:rPr>
                <w:rFonts w:asciiTheme="minorHAnsi" w:eastAsiaTheme="minorEastAsia" w:hAnsiTheme="minorHAnsi" w:cstheme="minorBidi"/>
                <w:noProof/>
                <w:sz w:val="22"/>
                <w:szCs w:val="22"/>
              </w:rPr>
              <w:tab/>
            </w:r>
            <w:r w:rsidRPr="00E01C32">
              <w:rPr>
                <w:rStyle w:val="Hyperlink"/>
                <w:noProof/>
              </w:rPr>
              <w:t>Korttidsboliger</w:t>
            </w:r>
            <w:r>
              <w:rPr>
                <w:noProof/>
                <w:webHidden/>
              </w:rPr>
              <w:tab/>
            </w:r>
            <w:r>
              <w:rPr>
                <w:noProof/>
                <w:webHidden/>
              </w:rPr>
              <w:fldChar w:fldCharType="begin"/>
            </w:r>
            <w:r>
              <w:rPr>
                <w:noProof/>
                <w:webHidden/>
              </w:rPr>
              <w:instrText xml:space="preserve"> PAGEREF _Toc414960284 \h </w:instrText>
            </w:r>
            <w:r>
              <w:rPr>
                <w:noProof/>
                <w:webHidden/>
              </w:rPr>
            </w:r>
            <w:r>
              <w:rPr>
                <w:noProof/>
                <w:webHidden/>
              </w:rPr>
              <w:fldChar w:fldCharType="separate"/>
            </w:r>
            <w:r>
              <w:rPr>
                <w:noProof/>
                <w:webHidden/>
              </w:rPr>
              <w:t>21</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5" w:history="1">
            <w:r w:rsidRPr="00E01C32">
              <w:rPr>
                <w:rStyle w:val="Hyperlink"/>
                <w:noProof/>
              </w:rPr>
              <w:t>3.1</w:t>
            </w:r>
            <w:r>
              <w:rPr>
                <w:rFonts w:asciiTheme="minorHAnsi" w:eastAsiaTheme="minorEastAsia" w:hAnsiTheme="minorHAnsi" w:cstheme="minorBidi"/>
                <w:noProof/>
                <w:sz w:val="22"/>
                <w:szCs w:val="22"/>
              </w:rPr>
              <w:tab/>
            </w:r>
            <w:r w:rsidRPr="00E01C32">
              <w:rPr>
                <w:rStyle w:val="Hyperlink"/>
                <w:noProof/>
              </w:rPr>
              <w:t>Dækningsgraden</w:t>
            </w:r>
            <w:r>
              <w:rPr>
                <w:noProof/>
                <w:webHidden/>
              </w:rPr>
              <w:tab/>
            </w:r>
            <w:r>
              <w:rPr>
                <w:noProof/>
                <w:webHidden/>
              </w:rPr>
              <w:fldChar w:fldCharType="begin"/>
            </w:r>
            <w:r>
              <w:rPr>
                <w:noProof/>
                <w:webHidden/>
              </w:rPr>
              <w:instrText xml:space="preserve"> PAGEREF _Toc414960285 \h </w:instrText>
            </w:r>
            <w:r>
              <w:rPr>
                <w:noProof/>
                <w:webHidden/>
              </w:rPr>
            </w:r>
            <w:r>
              <w:rPr>
                <w:noProof/>
                <w:webHidden/>
              </w:rPr>
              <w:fldChar w:fldCharType="separate"/>
            </w:r>
            <w:r>
              <w:rPr>
                <w:noProof/>
                <w:webHidden/>
              </w:rPr>
              <w:t>21</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6" w:history="1">
            <w:r w:rsidRPr="00E01C32">
              <w:rPr>
                <w:rStyle w:val="Hyperlink"/>
                <w:noProof/>
              </w:rPr>
              <w:t>3.2</w:t>
            </w:r>
            <w:r>
              <w:rPr>
                <w:rFonts w:asciiTheme="minorHAnsi" w:eastAsiaTheme="minorEastAsia" w:hAnsiTheme="minorHAnsi" w:cstheme="minorBidi"/>
                <w:noProof/>
                <w:sz w:val="22"/>
                <w:szCs w:val="22"/>
              </w:rPr>
              <w:tab/>
            </w:r>
            <w:r w:rsidRPr="00E01C32">
              <w:rPr>
                <w:rStyle w:val="Hyperlink"/>
                <w:noProof/>
              </w:rPr>
              <w:t>Demografi- &amp; Budgetmodellen (DBM)</w:t>
            </w:r>
            <w:r>
              <w:rPr>
                <w:noProof/>
                <w:webHidden/>
              </w:rPr>
              <w:tab/>
            </w:r>
            <w:r>
              <w:rPr>
                <w:noProof/>
                <w:webHidden/>
              </w:rPr>
              <w:fldChar w:fldCharType="begin"/>
            </w:r>
            <w:r>
              <w:rPr>
                <w:noProof/>
                <w:webHidden/>
              </w:rPr>
              <w:instrText xml:space="preserve"> PAGEREF _Toc414960286 \h </w:instrText>
            </w:r>
            <w:r>
              <w:rPr>
                <w:noProof/>
                <w:webHidden/>
              </w:rPr>
            </w:r>
            <w:r>
              <w:rPr>
                <w:noProof/>
                <w:webHidden/>
              </w:rPr>
              <w:fldChar w:fldCharType="separate"/>
            </w:r>
            <w:r>
              <w:rPr>
                <w:noProof/>
                <w:webHidden/>
              </w:rPr>
              <w:t>22</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7" w:history="1">
            <w:r w:rsidRPr="00E01C32">
              <w:rPr>
                <w:rStyle w:val="Hyperlink"/>
                <w:noProof/>
              </w:rPr>
              <w:t>3.3</w:t>
            </w:r>
            <w:r>
              <w:rPr>
                <w:rFonts w:asciiTheme="minorHAnsi" w:eastAsiaTheme="minorEastAsia" w:hAnsiTheme="minorHAnsi" w:cstheme="minorBidi"/>
                <w:noProof/>
                <w:sz w:val="22"/>
                <w:szCs w:val="22"/>
              </w:rPr>
              <w:tab/>
            </w:r>
            <w:r w:rsidRPr="00E01C32">
              <w:rPr>
                <w:rStyle w:val="Hyperlink"/>
                <w:noProof/>
              </w:rPr>
              <w:t>Færdigmeldte borgere (Sygehuse)</w:t>
            </w:r>
            <w:r>
              <w:rPr>
                <w:noProof/>
                <w:webHidden/>
              </w:rPr>
              <w:tab/>
            </w:r>
            <w:r>
              <w:rPr>
                <w:noProof/>
                <w:webHidden/>
              </w:rPr>
              <w:fldChar w:fldCharType="begin"/>
            </w:r>
            <w:r>
              <w:rPr>
                <w:noProof/>
                <w:webHidden/>
              </w:rPr>
              <w:instrText xml:space="preserve"> PAGEREF _Toc414960287 \h </w:instrText>
            </w:r>
            <w:r>
              <w:rPr>
                <w:noProof/>
                <w:webHidden/>
              </w:rPr>
            </w:r>
            <w:r>
              <w:rPr>
                <w:noProof/>
                <w:webHidden/>
              </w:rPr>
              <w:fldChar w:fldCharType="separate"/>
            </w:r>
            <w:r>
              <w:rPr>
                <w:noProof/>
                <w:webHidden/>
              </w:rPr>
              <w:t>24</w:t>
            </w:r>
            <w:r>
              <w:rPr>
                <w:noProof/>
                <w:webHidden/>
              </w:rPr>
              <w:fldChar w:fldCharType="end"/>
            </w:r>
          </w:hyperlink>
        </w:p>
        <w:p w:rsidR="00482F03" w:rsidRDefault="00482F03">
          <w:pPr>
            <w:pStyle w:val="Indholdsfortegnelse2"/>
            <w:tabs>
              <w:tab w:val="left" w:pos="880"/>
              <w:tab w:val="right" w:leader="dot" w:pos="8494"/>
            </w:tabs>
            <w:rPr>
              <w:rFonts w:asciiTheme="minorHAnsi" w:eastAsiaTheme="minorEastAsia" w:hAnsiTheme="minorHAnsi" w:cstheme="minorBidi"/>
              <w:noProof/>
              <w:sz w:val="22"/>
              <w:szCs w:val="22"/>
            </w:rPr>
          </w:pPr>
          <w:hyperlink w:anchor="_Toc414960288" w:history="1">
            <w:r w:rsidRPr="00E01C32">
              <w:rPr>
                <w:rStyle w:val="Hyperlink"/>
                <w:noProof/>
              </w:rPr>
              <w:t>3.4</w:t>
            </w:r>
            <w:r>
              <w:rPr>
                <w:rFonts w:asciiTheme="minorHAnsi" w:eastAsiaTheme="minorEastAsia" w:hAnsiTheme="minorHAnsi" w:cstheme="minorBidi"/>
                <w:noProof/>
                <w:sz w:val="22"/>
                <w:szCs w:val="22"/>
              </w:rPr>
              <w:tab/>
            </w:r>
            <w:r w:rsidRPr="00E01C32">
              <w:rPr>
                <w:rStyle w:val="Hyperlink"/>
                <w:noProof/>
              </w:rPr>
              <w:t>Behovet for antal korttidsboliger og udgiften hertil</w:t>
            </w:r>
            <w:r>
              <w:rPr>
                <w:noProof/>
                <w:webHidden/>
              </w:rPr>
              <w:tab/>
            </w:r>
            <w:r>
              <w:rPr>
                <w:noProof/>
                <w:webHidden/>
              </w:rPr>
              <w:fldChar w:fldCharType="begin"/>
            </w:r>
            <w:r>
              <w:rPr>
                <w:noProof/>
                <w:webHidden/>
              </w:rPr>
              <w:instrText xml:space="preserve"> PAGEREF _Toc414960288 \h </w:instrText>
            </w:r>
            <w:r>
              <w:rPr>
                <w:noProof/>
                <w:webHidden/>
              </w:rPr>
            </w:r>
            <w:r>
              <w:rPr>
                <w:noProof/>
                <w:webHidden/>
              </w:rPr>
              <w:fldChar w:fldCharType="separate"/>
            </w:r>
            <w:r>
              <w:rPr>
                <w:noProof/>
                <w:webHidden/>
              </w:rPr>
              <w:t>25</w:t>
            </w:r>
            <w:r>
              <w:rPr>
                <w:noProof/>
                <w:webHidden/>
              </w:rPr>
              <w:fldChar w:fldCharType="end"/>
            </w:r>
          </w:hyperlink>
        </w:p>
        <w:p w:rsidR="004C4C7B" w:rsidRDefault="000B05D0" w:rsidP="004C4C7B">
          <w:pPr>
            <w:outlineLvl w:val="2"/>
          </w:pPr>
          <w:r>
            <w:fldChar w:fldCharType="end"/>
          </w:r>
        </w:p>
      </w:sdtContent>
    </w:sdt>
    <w:p w:rsidR="00713DBB" w:rsidRDefault="00713DBB">
      <w:pPr>
        <w:rPr>
          <w:b/>
          <w:color w:val="808080"/>
          <w:sz w:val="24"/>
          <w:szCs w:val="24"/>
        </w:rPr>
      </w:pPr>
    </w:p>
    <w:p w:rsidR="00713DBB" w:rsidRPr="00984F9A" w:rsidRDefault="00713DBB">
      <w:pPr>
        <w:rPr>
          <w:b/>
          <w:color w:val="000000" w:themeColor="text1"/>
          <w:sz w:val="24"/>
          <w:szCs w:val="24"/>
          <w:u w:val="single"/>
        </w:rPr>
      </w:pPr>
      <w:r w:rsidRPr="00984F9A">
        <w:rPr>
          <w:b/>
          <w:color w:val="000000" w:themeColor="text1"/>
          <w:sz w:val="24"/>
          <w:szCs w:val="24"/>
          <w:u w:val="single"/>
        </w:rPr>
        <w:t>Læsevejledning:</w:t>
      </w:r>
      <w:r w:rsidR="00984F9A">
        <w:rPr>
          <w:b/>
          <w:color w:val="000000" w:themeColor="text1"/>
          <w:sz w:val="24"/>
          <w:szCs w:val="24"/>
          <w:u w:val="single"/>
        </w:rPr>
        <w:br/>
      </w:r>
    </w:p>
    <w:p w:rsidR="00713DBB" w:rsidRDefault="00713DBB">
      <w:pPr>
        <w:rPr>
          <w:color w:val="000000" w:themeColor="text1"/>
          <w:sz w:val="24"/>
          <w:szCs w:val="24"/>
        </w:rPr>
      </w:pPr>
      <w:r w:rsidRPr="00713DBB">
        <w:rPr>
          <w:color w:val="000000" w:themeColor="text1"/>
          <w:sz w:val="24"/>
          <w:szCs w:val="24"/>
          <w:u w:val="single"/>
        </w:rPr>
        <w:t>Hjemmeplejen</w:t>
      </w:r>
      <w:r>
        <w:rPr>
          <w:color w:val="000000" w:themeColor="text1"/>
          <w:sz w:val="24"/>
          <w:szCs w:val="24"/>
        </w:rPr>
        <w:t>: Det vises, hvordan budget opstilles og beregnes. Analysen baserer sig en del på avanceret statistisk. De læsere, der ønsker at springe teknikken over</w:t>
      </w:r>
      <w:r w:rsidR="00984F9A">
        <w:rPr>
          <w:color w:val="000000" w:themeColor="text1"/>
          <w:sz w:val="24"/>
          <w:szCs w:val="24"/>
        </w:rPr>
        <w:t>,</w:t>
      </w:r>
      <w:r>
        <w:rPr>
          <w:color w:val="000000" w:themeColor="text1"/>
          <w:sz w:val="24"/>
          <w:szCs w:val="24"/>
        </w:rPr>
        <w:t xml:space="preserve"> kan nøjes med at læse </w:t>
      </w:r>
      <w:r w:rsidR="00482F03">
        <w:rPr>
          <w:color w:val="000000" w:themeColor="text1"/>
          <w:sz w:val="24"/>
          <w:szCs w:val="24"/>
        </w:rPr>
        <w:t>afsnit 1.1. Sammenfatning.</w:t>
      </w:r>
    </w:p>
    <w:p w:rsidR="00713DBB" w:rsidRDefault="00713DBB">
      <w:pPr>
        <w:rPr>
          <w:color w:val="000000" w:themeColor="text1"/>
          <w:sz w:val="24"/>
          <w:szCs w:val="24"/>
        </w:rPr>
      </w:pPr>
    </w:p>
    <w:p w:rsidR="00713DBB" w:rsidRPr="00482F03" w:rsidRDefault="00713DBB">
      <w:pPr>
        <w:rPr>
          <w:color w:val="000000" w:themeColor="text1"/>
          <w:sz w:val="24"/>
          <w:szCs w:val="24"/>
        </w:rPr>
      </w:pPr>
      <w:r w:rsidRPr="00713DBB">
        <w:rPr>
          <w:color w:val="000000" w:themeColor="text1"/>
          <w:sz w:val="24"/>
          <w:szCs w:val="24"/>
          <w:u w:val="single"/>
        </w:rPr>
        <w:t>Plejeboliger:</w:t>
      </w:r>
      <w:r w:rsidR="00482F03">
        <w:rPr>
          <w:color w:val="000000" w:themeColor="text1"/>
          <w:sz w:val="24"/>
          <w:szCs w:val="24"/>
        </w:rPr>
        <w:t xml:space="preserve"> Behovet for flere plejeboliger og udgifter hertil beskr</w:t>
      </w:r>
      <w:r w:rsidR="00482F03">
        <w:rPr>
          <w:color w:val="000000" w:themeColor="text1"/>
          <w:sz w:val="24"/>
          <w:szCs w:val="24"/>
        </w:rPr>
        <w:t>i</w:t>
      </w:r>
      <w:r w:rsidR="00482F03">
        <w:rPr>
          <w:color w:val="000000" w:themeColor="text1"/>
          <w:sz w:val="24"/>
          <w:szCs w:val="24"/>
        </w:rPr>
        <w:t>ves. Det anbefales at læse kapitlet i sin helhed.</w:t>
      </w:r>
    </w:p>
    <w:p w:rsidR="00713DBB" w:rsidRPr="00713DBB" w:rsidRDefault="00713DBB">
      <w:pPr>
        <w:rPr>
          <w:color w:val="000000" w:themeColor="text1"/>
          <w:sz w:val="24"/>
          <w:szCs w:val="24"/>
        </w:rPr>
      </w:pPr>
    </w:p>
    <w:p w:rsidR="00482F03" w:rsidRPr="00482F03" w:rsidRDefault="00482F03" w:rsidP="00482F03">
      <w:pPr>
        <w:rPr>
          <w:color w:val="000000" w:themeColor="text1"/>
          <w:sz w:val="24"/>
          <w:szCs w:val="24"/>
        </w:rPr>
      </w:pPr>
      <w:proofErr w:type="spellStart"/>
      <w:r>
        <w:rPr>
          <w:color w:val="000000" w:themeColor="text1"/>
          <w:sz w:val="24"/>
          <w:szCs w:val="24"/>
          <w:u w:val="single"/>
        </w:rPr>
        <w:t>Korttidsboliger</w:t>
      </w:r>
      <w:proofErr w:type="spellEnd"/>
      <w:r w:rsidRPr="00713DBB">
        <w:rPr>
          <w:color w:val="000000" w:themeColor="text1"/>
          <w:sz w:val="24"/>
          <w:szCs w:val="24"/>
          <w:u w:val="single"/>
        </w:rPr>
        <w:t>:</w:t>
      </w:r>
      <w:r>
        <w:rPr>
          <w:color w:val="000000" w:themeColor="text1"/>
          <w:sz w:val="24"/>
          <w:szCs w:val="24"/>
        </w:rPr>
        <w:t xml:space="preserve"> Behovet for flere </w:t>
      </w:r>
      <w:proofErr w:type="spellStart"/>
      <w:r>
        <w:rPr>
          <w:color w:val="000000" w:themeColor="text1"/>
          <w:sz w:val="24"/>
          <w:szCs w:val="24"/>
        </w:rPr>
        <w:t>korttidsboliger</w:t>
      </w:r>
      <w:proofErr w:type="spellEnd"/>
      <w:r>
        <w:rPr>
          <w:color w:val="000000" w:themeColor="text1"/>
          <w:sz w:val="24"/>
          <w:szCs w:val="24"/>
        </w:rPr>
        <w:t xml:space="preserve"> og udgifter hertil b</w:t>
      </w:r>
      <w:r>
        <w:rPr>
          <w:color w:val="000000" w:themeColor="text1"/>
          <w:sz w:val="24"/>
          <w:szCs w:val="24"/>
        </w:rPr>
        <w:t>e</w:t>
      </w:r>
      <w:r>
        <w:rPr>
          <w:color w:val="000000" w:themeColor="text1"/>
          <w:sz w:val="24"/>
          <w:szCs w:val="24"/>
        </w:rPr>
        <w:t>skrives. Det anbefales at læse kapitlet i sin helhed.</w:t>
      </w:r>
    </w:p>
    <w:p w:rsidR="00713DBB" w:rsidRPr="00713DBB" w:rsidRDefault="00713DBB">
      <w:pPr>
        <w:rPr>
          <w:color w:val="000000" w:themeColor="text1"/>
          <w:sz w:val="24"/>
          <w:szCs w:val="24"/>
        </w:rPr>
      </w:pPr>
    </w:p>
    <w:p w:rsidR="00B63605" w:rsidRDefault="00B63605">
      <w:pPr>
        <w:rPr>
          <w:color w:val="808080"/>
          <w:sz w:val="48"/>
          <w:szCs w:val="48"/>
        </w:rPr>
      </w:pPr>
      <w:r>
        <w:rPr>
          <w:color w:val="808080"/>
          <w:sz w:val="48"/>
          <w:szCs w:val="48"/>
        </w:rPr>
        <w:br w:type="page"/>
      </w:r>
    </w:p>
    <w:p w:rsidR="00B63605" w:rsidRPr="00B63605" w:rsidRDefault="00B63605">
      <w:pPr>
        <w:rPr>
          <w:color w:val="000000" w:themeColor="text1"/>
          <w:sz w:val="24"/>
          <w:szCs w:val="24"/>
          <w:u w:val="single"/>
        </w:rPr>
      </w:pPr>
      <w:r w:rsidRPr="00B63605">
        <w:rPr>
          <w:color w:val="000000" w:themeColor="text1"/>
          <w:sz w:val="24"/>
          <w:szCs w:val="24"/>
          <w:u w:val="single"/>
        </w:rPr>
        <w:lastRenderedPageBreak/>
        <w:t>Liste over figurer og tabeller:</w:t>
      </w:r>
    </w:p>
    <w:p w:rsidR="002242A5" w:rsidRDefault="000B05D0">
      <w:pPr>
        <w:pStyle w:val="Listeoverfigurer"/>
        <w:tabs>
          <w:tab w:val="right" w:leader="dot" w:pos="8494"/>
        </w:tabs>
        <w:rPr>
          <w:rFonts w:asciiTheme="minorHAnsi" w:eastAsiaTheme="minorEastAsia" w:hAnsiTheme="minorHAnsi" w:cstheme="minorBidi"/>
          <w:noProof/>
          <w:sz w:val="22"/>
          <w:szCs w:val="22"/>
        </w:rPr>
      </w:pPr>
      <w:r>
        <w:rPr>
          <w:color w:val="808080"/>
        </w:rPr>
        <w:fldChar w:fldCharType="begin"/>
      </w:r>
      <w:r w:rsidR="00B63605">
        <w:rPr>
          <w:color w:val="808080"/>
        </w:rPr>
        <w:instrText xml:space="preserve"> TOC \h \z \c "Figur" </w:instrText>
      </w:r>
      <w:r>
        <w:rPr>
          <w:color w:val="808080"/>
        </w:rPr>
        <w:fldChar w:fldCharType="separate"/>
      </w:r>
      <w:hyperlink w:anchor="_Toc414519460" w:history="1">
        <w:r w:rsidR="002242A5" w:rsidRPr="004C491E">
          <w:rPr>
            <w:rStyle w:val="Hyperlink"/>
            <w:noProof/>
          </w:rPr>
          <w:t>Figur 1: Antal borgere med Personlig Hjælp efter aldersgruppe (2011 – 2013)</w:t>
        </w:r>
        <w:r w:rsidR="002242A5">
          <w:rPr>
            <w:noProof/>
            <w:webHidden/>
          </w:rPr>
          <w:tab/>
        </w:r>
        <w:r>
          <w:rPr>
            <w:noProof/>
            <w:webHidden/>
          </w:rPr>
          <w:fldChar w:fldCharType="begin"/>
        </w:r>
        <w:r w:rsidR="002242A5">
          <w:rPr>
            <w:noProof/>
            <w:webHidden/>
          </w:rPr>
          <w:instrText xml:space="preserve"> PAGEREF _Toc414519460 \h </w:instrText>
        </w:r>
        <w:r>
          <w:rPr>
            <w:noProof/>
            <w:webHidden/>
          </w:rPr>
        </w:r>
        <w:r>
          <w:rPr>
            <w:noProof/>
            <w:webHidden/>
          </w:rPr>
          <w:fldChar w:fldCharType="separate"/>
        </w:r>
        <w:r w:rsidR="002242A5">
          <w:rPr>
            <w:noProof/>
            <w:webHidden/>
          </w:rPr>
          <w:t>6</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1" w:history="1">
        <w:r w:rsidR="002242A5" w:rsidRPr="004C491E">
          <w:rPr>
            <w:rStyle w:val="Hyperlink"/>
            <w:noProof/>
          </w:rPr>
          <w:t>Figur 2: Gennemsnitlig alder for borgere med Personlig Pleje (2011 – 2013)</w:t>
        </w:r>
        <w:r w:rsidR="002242A5">
          <w:rPr>
            <w:noProof/>
            <w:webHidden/>
          </w:rPr>
          <w:tab/>
        </w:r>
        <w:r>
          <w:rPr>
            <w:noProof/>
            <w:webHidden/>
          </w:rPr>
          <w:fldChar w:fldCharType="begin"/>
        </w:r>
        <w:r w:rsidR="002242A5">
          <w:rPr>
            <w:noProof/>
            <w:webHidden/>
          </w:rPr>
          <w:instrText xml:space="preserve"> PAGEREF _Toc414519461 \h </w:instrText>
        </w:r>
        <w:r>
          <w:rPr>
            <w:noProof/>
            <w:webHidden/>
          </w:rPr>
        </w:r>
        <w:r>
          <w:rPr>
            <w:noProof/>
            <w:webHidden/>
          </w:rPr>
          <w:fldChar w:fldCharType="separate"/>
        </w:r>
        <w:r w:rsidR="002242A5">
          <w:rPr>
            <w:noProof/>
            <w:webHidden/>
          </w:rPr>
          <w:t>7</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2" w:history="1">
        <w:r w:rsidR="002242A5" w:rsidRPr="004C491E">
          <w:rPr>
            <w:rStyle w:val="Hyperlink"/>
            <w:noProof/>
          </w:rPr>
          <w:t>Figur 3:Antal borgere med Sygepleje Hjælp efter aldersgruppe (2011 – 2013)</w:t>
        </w:r>
        <w:r w:rsidR="002242A5">
          <w:rPr>
            <w:noProof/>
            <w:webHidden/>
          </w:rPr>
          <w:tab/>
        </w:r>
        <w:r>
          <w:rPr>
            <w:noProof/>
            <w:webHidden/>
          </w:rPr>
          <w:fldChar w:fldCharType="begin"/>
        </w:r>
        <w:r w:rsidR="002242A5">
          <w:rPr>
            <w:noProof/>
            <w:webHidden/>
          </w:rPr>
          <w:instrText xml:space="preserve"> PAGEREF _Toc414519462 \h </w:instrText>
        </w:r>
        <w:r>
          <w:rPr>
            <w:noProof/>
            <w:webHidden/>
          </w:rPr>
        </w:r>
        <w:r>
          <w:rPr>
            <w:noProof/>
            <w:webHidden/>
          </w:rPr>
          <w:fldChar w:fldCharType="separate"/>
        </w:r>
        <w:r w:rsidR="002242A5">
          <w:rPr>
            <w:noProof/>
            <w:webHidden/>
          </w:rPr>
          <w:t>8</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3" w:history="1">
        <w:r w:rsidR="002242A5" w:rsidRPr="004C491E">
          <w:rPr>
            <w:rStyle w:val="Hyperlink"/>
            <w:noProof/>
          </w:rPr>
          <w:t>Figur 4: Beregning af budget til Hjemmeplejen</w:t>
        </w:r>
        <w:r w:rsidR="002242A5">
          <w:rPr>
            <w:noProof/>
            <w:webHidden/>
          </w:rPr>
          <w:tab/>
        </w:r>
        <w:r>
          <w:rPr>
            <w:noProof/>
            <w:webHidden/>
          </w:rPr>
          <w:fldChar w:fldCharType="begin"/>
        </w:r>
        <w:r w:rsidR="002242A5">
          <w:rPr>
            <w:noProof/>
            <w:webHidden/>
          </w:rPr>
          <w:instrText xml:space="preserve"> PAGEREF _Toc414519463 \h </w:instrText>
        </w:r>
        <w:r>
          <w:rPr>
            <w:noProof/>
            <w:webHidden/>
          </w:rPr>
        </w:r>
        <w:r>
          <w:rPr>
            <w:noProof/>
            <w:webHidden/>
          </w:rPr>
          <w:fldChar w:fldCharType="separate"/>
        </w:r>
        <w:r w:rsidR="002242A5">
          <w:rPr>
            <w:noProof/>
            <w:webHidden/>
          </w:rPr>
          <w:t>15</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4" w:history="1">
        <w:r w:rsidR="002242A5" w:rsidRPr="004C491E">
          <w:rPr>
            <w:rStyle w:val="Hyperlink"/>
            <w:noProof/>
          </w:rPr>
          <w:t>Figur 5: Aldersfordeling i plejebolig inkl. visiterede til plejebolig</w:t>
        </w:r>
        <w:r w:rsidR="002242A5">
          <w:rPr>
            <w:noProof/>
            <w:webHidden/>
          </w:rPr>
          <w:tab/>
        </w:r>
        <w:r>
          <w:rPr>
            <w:noProof/>
            <w:webHidden/>
          </w:rPr>
          <w:fldChar w:fldCharType="begin"/>
        </w:r>
        <w:r w:rsidR="002242A5">
          <w:rPr>
            <w:noProof/>
            <w:webHidden/>
          </w:rPr>
          <w:instrText xml:space="preserve"> PAGEREF _Toc414519464 \h </w:instrText>
        </w:r>
        <w:r>
          <w:rPr>
            <w:noProof/>
            <w:webHidden/>
          </w:rPr>
        </w:r>
        <w:r>
          <w:rPr>
            <w:noProof/>
            <w:webHidden/>
          </w:rPr>
          <w:fldChar w:fldCharType="separate"/>
        </w:r>
        <w:r w:rsidR="002242A5">
          <w:rPr>
            <w:noProof/>
            <w:webHidden/>
          </w:rPr>
          <w:t>17</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5" w:history="1">
        <w:r w:rsidR="002242A5" w:rsidRPr="004C491E">
          <w:rPr>
            <w:rStyle w:val="Hyperlink"/>
            <w:noProof/>
          </w:rPr>
          <w:t>Figur 6: Dækningsgrader i udvalgte kommuner (almene plejeboliger)</w:t>
        </w:r>
        <w:r w:rsidR="002242A5">
          <w:rPr>
            <w:noProof/>
            <w:webHidden/>
          </w:rPr>
          <w:tab/>
        </w:r>
        <w:r>
          <w:rPr>
            <w:noProof/>
            <w:webHidden/>
          </w:rPr>
          <w:fldChar w:fldCharType="begin"/>
        </w:r>
        <w:r w:rsidR="002242A5">
          <w:rPr>
            <w:noProof/>
            <w:webHidden/>
          </w:rPr>
          <w:instrText xml:space="preserve"> PAGEREF _Toc414519465 \h </w:instrText>
        </w:r>
        <w:r>
          <w:rPr>
            <w:noProof/>
            <w:webHidden/>
          </w:rPr>
        </w:r>
        <w:r>
          <w:rPr>
            <w:noProof/>
            <w:webHidden/>
          </w:rPr>
          <w:fldChar w:fldCharType="separate"/>
        </w:r>
        <w:r w:rsidR="002242A5">
          <w:rPr>
            <w:noProof/>
            <w:webHidden/>
          </w:rPr>
          <w:t>18</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6" w:history="1">
        <w:r w:rsidR="002242A5" w:rsidRPr="004C491E">
          <w:rPr>
            <w:rStyle w:val="Hyperlink"/>
            <w:noProof/>
          </w:rPr>
          <w:t>Figur 7: Behovet for ekstra plejeboliger 2015-2023</w:t>
        </w:r>
        <w:r w:rsidR="002242A5">
          <w:rPr>
            <w:noProof/>
            <w:webHidden/>
          </w:rPr>
          <w:tab/>
        </w:r>
        <w:r>
          <w:rPr>
            <w:noProof/>
            <w:webHidden/>
          </w:rPr>
          <w:fldChar w:fldCharType="begin"/>
        </w:r>
        <w:r w:rsidR="002242A5">
          <w:rPr>
            <w:noProof/>
            <w:webHidden/>
          </w:rPr>
          <w:instrText xml:space="preserve"> PAGEREF _Toc414519466 \h </w:instrText>
        </w:r>
        <w:r>
          <w:rPr>
            <w:noProof/>
            <w:webHidden/>
          </w:rPr>
        </w:r>
        <w:r>
          <w:rPr>
            <w:noProof/>
            <w:webHidden/>
          </w:rPr>
          <w:fldChar w:fldCharType="separate"/>
        </w:r>
        <w:r w:rsidR="002242A5">
          <w:rPr>
            <w:noProof/>
            <w:webHidden/>
          </w:rPr>
          <w:t>18</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7" w:history="1">
        <w:r w:rsidR="002242A5" w:rsidRPr="004C491E">
          <w:rPr>
            <w:rStyle w:val="Hyperlink"/>
            <w:noProof/>
          </w:rPr>
          <w:t>Figur 8: Simulering af udgiftsudviklingen til plejeboliger, 2014 - 2023</w:t>
        </w:r>
        <w:r w:rsidR="002242A5">
          <w:rPr>
            <w:noProof/>
            <w:webHidden/>
          </w:rPr>
          <w:tab/>
        </w:r>
        <w:r>
          <w:rPr>
            <w:noProof/>
            <w:webHidden/>
          </w:rPr>
          <w:fldChar w:fldCharType="begin"/>
        </w:r>
        <w:r w:rsidR="002242A5">
          <w:rPr>
            <w:noProof/>
            <w:webHidden/>
          </w:rPr>
          <w:instrText xml:space="preserve"> PAGEREF _Toc414519467 \h </w:instrText>
        </w:r>
        <w:r>
          <w:rPr>
            <w:noProof/>
            <w:webHidden/>
          </w:rPr>
        </w:r>
        <w:r>
          <w:rPr>
            <w:noProof/>
            <w:webHidden/>
          </w:rPr>
          <w:fldChar w:fldCharType="separate"/>
        </w:r>
        <w:r w:rsidR="002242A5">
          <w:rPr>
            <w:noProof/>
            <w:webHidden/>
          </w:rPr>
          <w:t>20</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8" w:history="1">
        <w:r w:rsidR="002242A5" w:rsidRPr="004C491E">
          <w:rPr>
            <w:rStyle w:val="Hyperlink"/>
            <w:noProof/>
          </w:rPr>
          <w:t>Figur 9: Dækningsgrad af midlertidige boliger i udvalgte kommuner</w:t>
        </w:r>
        <w:r w:rsidR="002242A5">
          <w:rPr>
            <w:noProof/>
            <w:webHidden/>
          </w:rPr>
          <w:tab/>
        </w:r>
        <w:r>
          <w:rPr>
            <w:noProof/>
            <w:webHidden/>
          </w:rPr>
          <w:fldChar w:fldCharType="begin"/>
        </w:r>
        <w:r w:rsidR="002242A5">
          <w:rPr>
            <w:noProof/>
            <w:webHidden/>
          </w:rPr>
          <w:instrText xml:space="preserve"> PAGEREF _Toc414519468 \h </w:instrText>
        </w:r>
        <w:r>
          <w:rPr>
            <w:noProof/>
            <w:webHidden/>
          </w:rPr>
        </w:r>
        <w:r>
          <w:rPr>
            <w:noProof/>
            <w:webHidden/>
          </w:rPr>
          <w:fldChar w:fldCharType="separate"/>
        </w:r>
        <w:r w:rsidR="002242A5">
          <w:rPr>
            <w:noProof/>
            <w:webHidden/>
          </w:rPr>
          <w:t>21</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69" w:history="1">
        <w:r w:rsidR="002242A5" w:rsidRPr="004C491E">
          <w:rPr>
            <w:rStyle w:val="Hyperlink"/>
            <w:noProof/>
          </w:rPr>
          <w:t>Figur 10: Cirkulært sygeforløb af borgeren</w:t>
        </w:r>
        <w:r w:rsidR="002242A5">
          <w:rPr>
            <w:noProof/>
            <w:webHidden/>
          </w:rPr>
          <w:tab/>
        </w:r>
        <w:r>
          <w:rPr>
            <w:noProof/>
            <w:webHidden/>
          </w:rPr>
          <w:fldChar w:fldCharType="begin"/>
        </w:r>
        <w:r w:rsidR="002242A5">
          <w:rPr>
            <w:noProof/>
            <w:webHidden/>
          </w:rPr>
          <w:instrText xml:space="preserve"> PAGEREF _Toc414519469 \h </w:instrText>
        </w:r>
        <w:r>
          <w:rPr>
            <w:noProof/>
            <w:webHidden/>
          </w:rPr>
        </w:r>
        <w:r>
          <w:rPr>
            <w:noProof/>
            <w:webHidden/>
          </w:rPr>
          <w:fldChar w:fldCharType="separate"/>
        </w:r>
        <w:r w:rsidR="002242A5">
          <w:rPr>
            <w:noProof/>
            <w:webHidden/>
          </w:rPr>
          <w:t>23</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0" w:history="1">
        <w:r w:rsidR="002242A5" w:rsidRPr="004C491E">
          <w:rPr>
            <w:rStyle w:val="Hyperlink"/>
            <w:noProof/>
          </w:rPr>
          <w:t>Figur 11: Aldersfordeling på Lindehavens korttidsboliger efter 2014</w:t>
        </w:r>
        <w:r w:rsidR="002242A5">
          <w:rPr>
            <w:noProof/>
            <w:webHidden/>
          </w:rPr>
          <w:tab/>
        </w:r>
        <w:r>
          <w:rPr>
            <w:noProof/>
            <w:webHidden/>
          </w:rPr>
          <w:fldChar w:fldCharType="begin"/>
        </w:r>
        <w:r w:rsidR="002242A5">
          <w:rPr>
            <w:noProof/>
            <w:webHidden/>
          </w:rPr>
          <w:instrText xml:space="preserve"> PAGEREF _Toc414519470 \h </w:instrText>
        </w:r>
        <w:r>
          <w:rPr>
            <w:noProof/>
            <w:webHidden/>
          </w:rPr>
        </w:r>
        <w:r>
          <w:rPr>
            <w:noProof/>
            <w:webHidden/>
          </w:rPr>
          <w:fldChar w:fldCharType="separate"/>
        </w:r>
        <w:r w:rsidR="002242A5">
          <w:rPr>
            <w:noProof/>
            <w:webHidden/>
          </w:rPr>
          <w:t>24</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1" w:history="1">
        <w:r w:rsidR="002242A5" w:rsidRPr="004C491E">
          <w:rPr>
            <w:rStyle w:val="Hyperlink"/>
            <w:noProof/>
          </w:rPr>
          <w:t>Figur 12: Udgifter og antal færdigmeldte borgere på sygehuse, 2013 og 2014</w:t>
        </w:r>
        <w:r w:rsidR="002242A5">
          <w:rPr>
            <w:noProof/>
            <w:webHidden/>
          </w:rPr>
          <w:tab/>
        </w:r>
        <w:r>
          <w:rPr>
            <w:noProof/>
            <w:webHidden/>
          </w:rPr>
          <w:fldChar w:fldCharType="begin"/>
        </w:r>
        <w:r w:rsidR="002242A5">
          <w:rPr>
            <w:noProof/>
            <w:webHidden/>
          </w:rPr>
          <w:instrText xml:space="preserve"> PAGEREF _Toc414519471 \h </w:instrText>
        </w:r>
        <w:r>
          <w:rPr>
            <w:noProof/>
            <w:webHidden/>
          </w:rPr>
        </w:r>
        <w:r>
          <w:rPr>
            <w:noProof/>
            <w:webHidden/>
          </w:rPr>
          <w:fldChar w:fldCharType="separate"/>
        </w:r>
        <w:r w:rsidR="002242A5">
          <w:rPr>
            <w:noProof/>
            <w:webHidden/>
          </w:rPr>
          <w:t>24</w:t>
        </w:r>
        <w:r>
          <w:rPr>
            <w:noProof/>
            <w:webHidden/>
          </w:rPr>
          <w:fldChar w:fldCharType="end"/>
        </w:r>
      </w:hyperlink>
    </w:p>
    <w:p w:rsidR="00B63605" w:rsidRDefault="000B05D0">
      <w:pPr>
        <w:rPr>
          <w:color w:val="808080"/>
        </w:rPr>
      </w:pPr>
      <w:r>
        <w:rPr>
          <w:color w:val="808080"/>
        </w:rPr>
        <w:fldChar w:fldCharType="end"/>
      </w:r>
    </w:p>
    <w:p w:rsidR="002242A5" w:rsidRDefault="000B05D0">
      <w:pPr>
        <w:pStyle w:val="Listeoverfigurer"/>
        <w:tabs>
          <w:tab w:val="right" w:leader="dot" w:pos="8494"/>
        </w:tabs>
        <w:rPr>
          <w:rFonts w:asciiTheme="minorHAnsi" w:eastAsiaTheme="minorEastAsia" w:hAnsiTheme="minorHAnsi" w:cstheme="minorBidi"/>
          <w:noProof/>
          <w:sz w:val="22"/>
          <w:szCs w:val="22"/>
        </w:rPr>
      </w:pPr>
      <w:r>
        <w:rPr>
          <w:color w:val="808080"/>
        </w:rPr>
        <w:fldChar w:fldCharType="begin"/>
      </w:r>
      <w:r w:rsidR="00B63605">
        <w:rPr>
          <w:color w:val="808080"/>
        </w:rPr>
        <w:instrText xml:space="preserve"> TOC \h \z \c "Tabel" </w:instrText>
      </w:r>
      <w:r>
        <w:rPr>
          <w:color w:val="808080"/>
        </w:rPr>
        <w:fldChar w:fldCharType="separate"/>
      </w:r>
      <w:hyperlink w:anchor="_Toc414519472" w:history="1">
        <w:r w:rsidR="002242A5" w:rsidRPr="006A58F3">
          <w:rPr>
            <w:rStyle w:val="Hyperlink"/>
            <w:noProof/>
          </w:rPr>
          <w:t>Tabel 1: Udgifter til Praktisk Hjælp, personlig Pleje og Sygepleje (2014 priser</w:t>
        </w:r>
        <w:r w:rsidR="002242A5">
          <w:rPr>
            <w:noProof/>
            <w:webHidden/>
          </w:rPr>
          <w:tab/>
        </w:r>
        <w:r>
          <w:rPr>
            <w:noProof/>
            <w:webHidden/>
          </w:rPr>
          <w:fldChar w:fldCharType="begin"/>
        </w:r>
        <w:r w:rsidR="002242A5">
          <w:rPr>
            <w:noProof/>
            <w:webHidden/>
          </w:rPr>
          <w:instrText xml:space="preserve"> PAGEREF _Toc414519472 \h </w:instrText>
        </w:r>
        <w:r>
          <w:rPr>
            <w:noProof/>
            <w:webHidden/>
          </w:rPr>
        </w:r>
        <w:r>
          <w:rPr>
            <w:noProof/>
            <w:webHidden/>
          </w:rPr>
          <w:fldChar w:fldCharType="separate"/>
        </w:r>
        <w:r w:rsidR="002242A5">
          <w:rPr>
            <w:noProof/>
            <w:webHidden/>
          </w:rPr>
          <w:t>4</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3" w:history="1">
        <w:r w:rsidR="002242A5" w:rsidRPr="006A58F3">
          <w:rPr>
            <w:rStyle w:val="Hyperlink"/>
            <w:noProof/>
          </w:rPr>
          <w:t>Tabel 2: CHI2-koefficienter efter 2010-2014 op mod det fælles gennemsnit</w:t>
        </w:r>
        <w:r w:rsidR="002242A5">
          <w:rPr>
            <w:noProof/>
            <w:webHidden/>
          </w:rPr>
          <w:tab/>
        </w:r>
        <w:r>
          <w:rPr>
            <w:noProof/>
            <w:webHidden/>
          </w:rPr>
          <w:fldChar w:fldCharType="begin"/>
        </w:r>
        <w:r w:rsidR="002242A5">
          <w:rPr>
            <w:noProof/>
            <w:webHidden/>
          </w:rPr>
          <w:instrText xml:space="preserve"> PAGEREF _Toc414519473 \h </w:instrText>
        </w:r>
        <w:r>
          <w:rPr>
            <w:noProof/>
            <w:webHidden/>
          </w:rPr>
        </w:r>
        <w:r>
          <w:rPr>
            <w:noProof/>
            <w:webHidden/>
          </w:rPr>
          <w:fldChar w:fldCharType="separate"/>
        </w:r>
        <w:r w:rsidR="002242A5">
          <w:rPr>
            <w:noProof/>
            <w:webHidden/>
          </w:rPr>
          <w:t>5</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4" w:history="1">
        <w:r w:rsidR="002242A5" w:rsidRPr="006A58F3">
          <w:rPr>
            <w:rStyle w:val="Hyperlink"/>
            <w:noProof/>
          </w:rPr>
          <w:t>Tabel 3: Fraktiler i hyppighedsfordelingen over leveret tid (2011-2013)</w:t>
        </w:r>
        <w:r w:rsidR="002242A5">
          <w:rPr>
            <w:noProof/>
            <w:webHidden/>
          </w:rPr>
          <w:tab/>
        </w:r>
        <w:r>
          <w:rPr>
            <w:noProof/>
            <w:webHidden/>
          </w:rPr>
          <w:fldChar w:fldCharType="begin"/>
        </w:r>
        <w:r w:rsidR="002242A5">
          <w:rPr>
            <w:noProof/>
            <w:webHidden/>
          </w:rPr>
          <w:instrText xml:space="preserve"> PAGEREF _Toc414519474 \h </w:instrText>
        </w:r>
        <w:r>
          <w:rPr>
            <w:noProof/>
            <w:webHidden/>
          </w:rPr>
        </w:r>
        <w:r>
          <w:rPr>
            <w:noProof/>
            <w:webHidden/>
          </w:rPr>
          <w:fldChar w:fldCharType="separate"/>
        </w:r>
        <w:r w:rsidR="002242A5">
          <w:rPr>
            <w:noProof/>
            <w:webHidden/>
          </w:rPr>
          <w:t>7</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5" w:history="1">
        <w:r w:rsidR="002242A5" w:rsidRPr="006A58F3">
          <w:rPr>
            <w:rStyle w:val="Hyperlink"/>
            <w:noProof/>
          </w:rPr>
          <w:t>Tabel 4: : Fraktiler i hyppighedsfordelingen over leveret tid (2011-2013)</w:t>
        </w:r>
        <w:r w:rsidR="002242A5">
          <w:rPr>
            <w:noProof/>
            <w:webHidden/>
          </w:rPr>
          <w:tab/>
        </w:r>
        <w:r>
          <w:rPr>
            <w:noProof/>
            <w:webHidden/>
          </w:rPr>
          <w:fldChar w:fldCharType="begin"/>
        </w:r>
        <w:r w:rsidR="002242A5">
          <w:rPr>
            <w:noProof/>
            <w:webHidden/>
          </w:rPr>
          <w:instrText xml:space="preserve"> PAGEREF _Toc414519475 \h </w:instrText>
        </w:r>
        <w:r>
          <w:rPr>
            <w:noProof/>
            <w:webHidden/>
          </w:rPr>
        </w:r>
        <w:r>
          <w:rPr>
            <w:noProof/>
            <w:webHidden/>
          </w:rPr>
          <w:fldChar w:fldCharType="separate"/>
        </w:r>
        <w:r w:rsidR="002242A5">
          <w:rPr>
            <w:noProof/>
            <w:webHidden/>
          </w:rPr>
          <w:t>8</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6" w:history="1">
        <w:r w:rsidR="002242A5" w:rsidRPr="006A58F3">
          <w:rPr>
            <w:rStyle w:val="Hyperlink"/>
            <w:noProof/>
          </w:rPr>
          <w:t>Tabel 5: F-test for samme varians for 2011 og 2013.</w:t>
        </w:r>
        <w:r w:rsidR="002242A5">
          <w:rPr>
            <w:noProof/>
            <w:webHidden/>
          </w:rPr>
          <w:tab/>
        </w:r>
        <w:r>
          <w:rPr>
            <w:noProof/>
            <w:webHidden/>
          </w:rPr>
          <w:fldChar w:fldCharType="begin"/>
        </w:r>
        <w:r w:rsidR="002242A5">
          <w:rPr>
            <w:noProof/>
            <w:webHidden/>
          </w:rPr>
          <w:instrText xml:space="preserve"> PAGEREF _Toc414519476 \h </w:instrText>
        </w:r>
        <w:r>
          <w:rPr>
            <w:noProof/>
            <w:webHidden/>
          </w:rPr>
        </w:r>
        <w:r>
          <w:rPr>
            <w:noProof/>
            <w:webHidden/>
          </w:rPr>
          <w:fldChar w:fldCharType="separate"/>
        </w:r>
        <w:r w:rsidR="002242A5">
          <w:rPr>
            <w:noProof/>
            <w:webHidden/>
          </w:rPr>
          <w:t>9</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7" w:history="1">
        <w:r w:rsidR="002242A5" w:rsidRPr="006A58F3">
          <w:rPr>
            <w:rStyle w:val="Hyperlink"/>
            <w:noProof/>
          </w:rPr>
          <w:t>Tabel 6:T-test for samme middelværdi for 2011 og 2013</w:t>
        </w:r>
        <w:r w:rsidR="002242A5">
          <w:rPr>
            <w:noProof/>
            <w:webHidden/>
          </w:rPr>
          <w:tab/>
        </w:r>
        <w:r>
          <w:rPr>
            <w:noProof/>
            <w:webHidden/>
          </w:rPr>
          <w:fldChar w:fldCharType="begin"/>
        </w:r>
        <w:r w:rsidR="002242A5">
          <w:rPr>
            <w:noProof/>
            <w:webHidden/>
          </w:rPr>
          <w:instrText xml:space="preserve"> PAGEREF _Toc414519477 \h </w:instrText>
        </w:r>
        <w:r>
          <w:rPr>
            <w:noProof/>
            <w:webHidden/>
          </w:rPr>
        </w:r>
        <w:r>
          <w:rPr>
            <w:noProof/>
            <w:webHidden/>
          </w:rPr>
          <w:fldChar w:fldCharType="separate"/>
        </w:r>
        <w:r w:rsidR="002242A5">
          <w:rPr>
            <w:noProof/>
            <w:webHidden/>
          </w:rPr>
          <w:t>10</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8" w:history="1">
        <w:r w:rsidR="002242A5" w:rsidRPr="006A58F3">
          <w:rPr>
            <w:rStyle w:val="Hyperlink"/>
            <w:noProof/>
          </w:rPr>
          <w:t>Tabel 7: Procentvis andel af ældre, der modtager hjemmeplejeydelser</w:t>
        </w:r>
        <w:r w:rsidR="002242A5">
          <w:rPr>
            <w:noProof/>
            <w:webHidden/>
          </w:rPr>
          <w:tab/>
        </w:r>
        <w:r>
          <w:rPr>
            <w:noProof/>
            <w:webHidden/>
          </w:rPr>
          <w:fldChar w:fldCharType="begin"/>
        </w:r>
        <w:r w:rsidR="002242A5">
          <w:rPr>
            <w:noProof/>
            <w:webHidden/>
          </w:rPr>
          <w:instrText xml:space="preserve"> PAGEREF _Toc414519478 \h </w:instrText>
        </w:r>
        <w:r>
          <w:rPr>
            <w:noProof/>
            <w:webHidden/>
          </w:rPr>
        </w:r>
        <w:r>
          <w:rPr>
            <w:noProof/>
            <w:webHidden/>
          </w:rPr>
          <w:fldChar w:fldCharType="separate"/>
        </w:r>
        <w:r w:rsidR="002242A5">
          <w:rPr>
            <w:noProof/>
            <w:webHidden/>
          </w:rPr>
          <w:t>10</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79" w:history="1">
        <w:r w:rsidR="002242A5" w:rsidRPr="006A58F3">
          <w:rPr>
            <w:rStyle w:val="Hyperlink"/>
            <w:noProof/>
          </w:rPr>
          <w:t>Tabel 8: Enhedsbeløb for Praktisk Hjælp, Personlig Pleje og Sygepleje for 2014.</w:t>
        </w:r>
        <w:r w:rsidR="002242A5">
          <w:rPr>
            <w:noProof/>
            <w:webHidden/>
          </w:rPr>
          <w:tab/>
        </w:r>
        <w:r>
          <w:rPr>
            <w:noProof/>
            <w:webHidden/>
          </w:rPr>
          <w:fldChar w:fldCharType="begin"/>
        </w:r>
        <w:r w:rsidR="002242A5">
          <w:rPr>
            <w:noProof/>
            <w:webHidden/>
          </w:rPr>
          <w:instrText xml:space="preserve"> PAGEREF _Toc414519479 \h </w:instrText>
        </w:r>
        <w:r>
          <w:rPr>
            <w:noProof/>
            <w:webHidden/>
          </w:rPr>
        </w:r>
        <w:r>
          <w:rPr>
            <w:noProof/>
            <w:webHidden/>
          </w:rPr>
          <w:fldChar w:fldCharType="separate"/>
        </w:r>
        <w:r w:rsidR="002242A5">
          <w:rPr>
            <w:noProof/>
            <w:webHidden/>
          </w:rPr>
          <w:t>12</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0" w:history="1">
        <w:r w:rsidR="002242A5" w:rsidRPr="006A58F3">
          <w:rPr>
            <w:rStyle w:val="Hyperlink"/>
            <w:noProof/>
          </w:rPr>
          <w:t>Tabel 9: Udgift til Praktisk Hjælp i 2014-priser (1000 kr.)</w:t>
        </w:r>
        <w:r w:rsidR="002242A5">
          <w:rPr>
            <w:noProof/>
            <w:webHidden/>
          </w:rPr>
          <w:tab/>
        </w:r>
        <w:r>
          <w:rPr>
            <w:noProof/>
            <w:webHidden/>
          </w:rPr>
          <w:fldChar w:fldCharType="begin"/>
        </w:r>
        <w:r w:rsidR="002242A5">
          <w:rPr>
            <w:noProof/>
            <w:webHidden/>
          </w:rPr>
          <w:instrText xml:space="preserve"> PAGEREF _Toc414519480 \h </w:instrText>
        </w:r>
        <w:r>
          <w:rPr>
            <w:noProof/>
            <w:webHidden/>
          </w:rPr>
        </w:r>
        <w:r>
          <w:rPr>
            <w:noProof/>
            <w:webHidden/>
          </w:rPr>
          <w:fldChar w:fldCharType="separate"/>
        </w:r>
        <w:r w:rsidR="002242A5">
          <w:rPr>
            <w:noProof/>
            <w:webHidden/>
          </w:rPr>
          <w:t>13</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1" w:history="1">
        <w:r w:rsidR="002242A5" w:rsidRPr="006A58F3">
          <w:rPr>
            <w:rStyle w:val="Hyperlink"/>
            <w:noProof/>
          </w:rPr>
          <w:t>Tabel 10: Udgift til Personlig Pleje 2014–priser (1000 kr.)</w:t>
        </w:r>
        <w:r w:rsidR="002242A5">
          <w:rPr>
            <w:noProof/>
            <w:webHidden/>
          </w:rPr>
          <w:tab/>
        </w:r>
        <w:r>
          <w:rPr>
            <w:noProof/>
            <w:webHidden/>
          </w:rPr>
          <w:fldChar w:fldCharType="begin"/>
        </w:r>
        <w:r w:rsidR="002242A5">
          <w:rPr>
            <w:noProof/>
            <w:webHidden/>
          </w:rPr>
          <w:instrText xml:space="preserve"> PAGEREF _Toc414519481 \h </w:instrText>
        </w:r>
        <w:r>
          <w:rPr>
            <w:noProof/>
            <w:webHidden/>
          </w:rPr>
        </w:r>
        <w:r>
          <w:rPr>
            <w:noProof/>
            <w:webHidden/>
          </w:rPr>
          <w:fldChar w:fldCharType="separate"/>
        </w:r>
        <w:r w:rsidR="002242A5">
          <w:rPr>
            <w:noProof/>
            <w:webHidden/>
          </w:rPr>
          <w:t>14</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2" w:history="1">
        <w:r w:rsidR="002242A5" w:rsidRPr="006A58F3">
          <w:rPr>
            <w:rStyle w:val="Hyperlink"/>
            <w:noProof/>
          </w:rPr>
          <w:t>Tabel 11: Udgift til Sygepleje 2014-priser (1000 kr.)</w:t>
        </w:r>
        <w:r w:rsidR="002242A5">
          <w:rPr>
            <w:noProof/>
            <w:webHidden/>
          </w:rPr>
          <w:tab/>
        </w:r>
        <w:r>
          <w:rPr>
            <w:noProof/>
            <w:webHidden/>
          </w:rPr>
          <w:fldChar w:fldCharType="begin"/>
        </w:r>
        <w:r w:rsidR="002242A5">
          <w:rPr>
            <w:noProof/>
            <w:webHidden/>
          </w:rPr>
          <w:instrText xml:space="preserve"> PAGEREF _Toc414519482 \h </w:instrText>
        </w:r>
        <w:r>
          <w:rPr>
            <w:noProof/>
            <w:webHidden/>
          </w:rPr>
        </w:r>
        <w:r>
          <w:rPr>
            <w:noProof/>
            <w:webHidden/>
          </w:rPr>
          <w:fldChar w:fldCharType="separate"/>
        </w:r>
        <w:r w:rsidR="002242A5">
          <w:rPr>
            <w:noProof/>
            <w:webHidden/>
          </w:rPr>
          <w:t>14</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3" w:history="1">
        <w:r w:rsidR="002242A5" w:rsidRPr="006A58F3">
          <w:rPr>
            <w:rStyle w:val="Hyperlink"/>
            <w:noProof/>
          </w:rPr>
          <w:t>Tabel 12: Økonomisk effekt af kvalitative indsatser</w:t>
        </w:r>
        <w:r w:rsidR="002242A5">
          <w:rPr>
            <w:noProof/>
            <w:webHidden/>
          </w:rPr>
          <w:tab/>
        </w:r>
        <w:r>
          <w:rPr>
            <w:noProof/>
            <w:webHidden/>
          </w:rPr>
          <w:fldChar w:fldCharType="begin"/>
        </w:r>
        <w:r w:rsidR="002242A5">
          <w:rPr>
            <w:noProof/>
            <w:webHidden/>
          </w:rPr>
          <w:instrText xml:space="preserve"> PAGEREF _Toc414519483 \h </w:instrText>
        </w:r>
        <w:r>
          <w:rPr>
            <w:noProof/>
            <w:webHidden/>
          </w:rPr>
        </w:r>
        <w:r>
          <w:rPr>
            <w:noProof/>
            <w:webHidden/>
          </w:rPr>
          <w:fldChar w:fldCharType="separate"/>
        </w:r>
        <w:r w:rsidR="002242A5">
          <w:rPr>
            <w:noProof/>
            <w:webHidden/>
          </w:rPr>
          <w:t>15</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4" w:history="1">
        <w:r w:rsidR="002242A5" w:rsidRPr="006A58F3">
          <w:rPr>
            <w:rStyle w:val="Hyperlink"/>
            <w:noProof/>
          </w:rPr>
          <w:t>Tabel 13: Behovet for plejeboliger efter DBM</w:t>
        </w:r>
        <w:r w:rsidR="002242A5">
          <w:rPr>
            <w:noProof/>
            <w:webHidden/>
          </w:rPr>
          <w:tab/>
        </w:r>
        <w:r>
          <w:rPr>
            <w:noProof/>
            <w:webHidden/>
          </w:rPr>
          <w:fldChar w:fldCharType="begin"/>
        </w:r>
        <w:r w:rsidR="002242A5">
          <w:rPr>
            <w:noProof/>
            <w:webHidden/>
          </w:rPr>
          <w:instrText xml:space="preserve"> PAGEREF _Toc414519484 \h </w:instrText>
        </w:r>
        <w:r>
          <w:rPr>
            <w:noProof/>
            <w:webHidden/>
          </w:rPr>
        </w:r>
        <w:r>
          <w:rPr>
            <w:noProof/>
            <w:webHidden/>
          </w:rPr>
          <w:fldChar w:fldCharType="separate"/>
        </w:r>
        <w:r w:rsidR="002242A5">
          <w:rPr>
            <w:noProof/>
            <w:webHidden/>
          </w:rPr>
          <w:t>19</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5" w:history="1">
        <w:r w:rsidR="002242A5" w:rsidRPr="006A58F3">
          <w:rPr>
            <w:rStyle w:val="Hyperlink"/>
            <w:noProof/>
          </w:rPr>
          <w:t>Tabel 14: Ind- og udskrivningsmønstret på Lindehavens korttidsboliger efter 2014</w:t>
        </w:r>
        <w:r w:rsidR="002242A5">
          <w:rPr>
            <w:noProof/>
            <w:webHidden/>
          </w:rPr>
          <w:tab/>
        </w:r>
        <w:r>
          <w:rPr>
            <w:noProof/>
            <w:webHidden/>
          </w:rPr>
          <w:fldChar w:fldCharType="begin"/>
        </w:r>
        <w:r w:rsidR="002242A5">
          <w:rPr>
            <w:noProof/>
            <w:webHidden/>
          </w:rPr>
          <w:instrText xml:space="preserve"> PAGEREF _Toc414519485 \h </w:instrText>
        </w:r>
        <w:r>
          <w:rPr>
            <w:noProof/>
            <w:webHidden/>
          </w:rPr>
        </w:r>
        <w:r>
          <w:rPr>
            <w:noProof/>
            <w:webHidden/>
          </w:rPr>
          <w:fldChar w:fldCharType="separate"/>
        </w:r>
        <w:r w:rsidR="002242A5">
          <w:rPr>
            <w:noProof/>
            <w:webHidden/>
          </w:rPr>
          <w:t>23</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6" w:history="1">
        <w:r w:rsidR="002242A5" w:rsidRPr="006A58F3">
          <w:rPr>
            <w:rStyle w:val="Hyperlink"/>
            <w:noProof/>
          </w:rPr>
          <w:t>Tabel 17: Behovet for korttidsboliger til færdigmeldte borgere på sygehuse 2014-2023</w:t>
        </w:r>
        <w:r w:rsidR="002242A5">
          <w:rPr>
            <w:noProof/>
            <w:webHidden/>
          </w:rPr>
          <w:tab/>
        </w:r>
        <w:r>
          <w:rPr>
            <w:noProof/>
            <w:webHidden/>
          </w:rPr>
          <w:fldChar w:fldCharType="begin"/>
        </w:r>
        <w:r w:rsidR="002242A5">
          <w:rPr>
            <w:noProof/>
            <w:webHidden/>
          </w:rPr>
          <w:instrText xml:space="preserve"> PAGEREF _Toc414519486 \h </w:instrText>
        </w:r>
        <w:r>
          <w:rPr>
            <w:noProof/>
            <w:webHidden/>
          </w:rPr>
        </w:r>
        <w:r>
          <w:rPr>
            <w:noProof/>
            <w:webHidden/>
          </w:rPr>
          <w:fldChar w:fldCharType="separate"/>
        </w:r>
        <w:r w:rsidR="002242A5">
          <w:rPr>
            <w:noProof/>
            <w:webHidden/>
          </w:rPr>
          <w:t>25</w:t>
        </w:r>
        <w:r>
          <w:rPr>
            <w:noProof/>
            <w:webHidden/>
          </w:rPr>
          <w:fldChar w:fldCharType="end"/>
        </w:r>
      </w:hyperlink>
    </w:p>
    <w:p w:rsidR="002242A5" w:rsidRDefault="000B05D0">
      <w:pPr>
        <w:pStyle w:val="Listeoverfigurer"/>
        <w:tabs>
          <w:tab w:val="right" w:leader="dot" w:pos="8494"/>
        </w:tabs>
        <w:rPr>
          <w:rFonts w:asciiTheme="minorHAnsi" w:eastAsiaTheme="minorEastAsia" w:hAnsiTheme="minorHAnsi" w:cstheme="minorBidi"/>
          <w:noProof/>
          <w:sz w:val="22"/>
          <w:szCs w:val="22"/>
        </w:rPr>
      </w:pPr>
      <w:hyperlink w:anchor="_Toc414519487" w:history="1">
        <w:r w:rsidR="002242A5" w:rsidRPr="006A58F3">
          <w:rPr>
            <w:rStyle w:val="Hyperlink"/>
            <w:noProof/>
          </w:rPr>
          <w:t>Tabel 16: Fremskrivning af antal korttidsboliger 2014-2023</w:t>
        </w:r>
        <w:r w:rsidR="002242A5">
          <w:rPr>
            <w:noProof/>
            <w:webHidden/>
          </w:rPr>
          <w:tab/>
        </w:r>
        <w:r>
          <w:rPr>
            <w:noProof/>
            <w:webHidden/>
          </w:rPr>
          <w:fldChar w:fldCharType="begin"/>
        </w:r>
        <w:r w:rsidR="002242A5">
          <w:rPr>
            <w:noProof/>
            <w:webHidden/>
          </w:rPr>
          <w:instrText xml:space="preserve"> PAGEREF _Toc414519487 \h </w:instrText>
        </w:r>
        <w:r>
          <w:rPr>
            <w:noProof/>
            <w:webHidden/>
          </w:rPr>
        </w:r>
        <w:r>
          <w:rPr>
            <w:noProof/>
            <w:webHidden/>
          </w:rPr>
          <w:fldChar w:fldCharType="separate"/>
        </w:r>
        <w:r w:rsidR="002242A5">
          <w:rPr>
            <w:noProof/>
            <w:webHidden/>
          </w:rPr>
          <w:t>25</w:t>
        </w:r>
        <w:r>
          <w:rPr>
            <w:noProof/>
            <w:webHidden/>
          </w:rPr>
          <w:fldChar w:fldCharType="end"/>
        </w:r>
      </w:hyperlink>
    </w:p>
    <w:p w:rsidR="00B63605" w:rsidRPr="00B63605" w:rsidRDefault="000B05D0">
      <w:pPr>
        <w:rPr>
          <w:color w:val="808080"/>
        </w:rPr>
      </w:pPr>
      <w:r>
        <w:rPr>
          <w:color w:val="808080"/>
        </w:rPr>
        <w:fldChar w:fldCharType="end"/>
      </w:r>
    </w:p>
    <w:p w:rsidR="0033572E" w:rsidRDefault="0033572E">
      <w:pPr>
        <w:rPr>
          <w:color w:val="808080"/>
          <w:sz w:val="48"/>
          <w:szCs w:val="48"/>
        </w:rPr>
      </w:pPr>
      <w:r>
        <w:rPr>
          <w:color w:val="808080"/>
          <w:sz w:val="48"/>
          <w:szCs w:val="48"/>
        </w:rPr>
        <w:br w:type="page"/>
      </w:r>
    </w:p>
    <w:p w:rsidR="00091781" w:rsidRPr="00B97892" w:rsidRDefault="00091781" w:rsidP="00091781">
      <w:pPr>
        <w:pStyle w:val="Overskrift1"/>
        <w:rPr>
          <w:sz w:val="24"/>
          <w:szCs w:val="24"/>
        </w:rPr>
      </w:pPr>
      <w:bookmarkStart w:id="13" w:name="_Toc414960271"/>
      <w:r w:rsidRPr="00B97892">
        <w:rPr>
          <w:sz w:val="24"/>
          <w:szCs w:val="24"/>
        </w:rPr>
        <w:lastRenderedPageBreak/>
        <w:t>Hjemmeplejen</w:t>
      </w:r>
      <w:bookmarkEnd w:id="13"/>
      <w:r w:rsidR="00482F03">
        <w:rPr>
          <w:sz w:val="24"/>
          <w:szCs w:val="24"/>
        </w:rPr>
        <w:br/>
      </w:r>
    </w:p>
    <w:p w:rsidR="00482F03" w:rsidRPr="00482F03" w:rsidRDefault="00482F03" w:rsidP="00482F03">
      <w:pPr>
        <w:pStyle w:val="Overskrift2"/>
        <w:rPr>
          <w:sz w:val="22"/>
          <w:szCs w:val="22"/>
        </w:rPr>
      </w:pPr>
      <w:bookmarkStart w:id="14" w:name="_Toc414960272"/>
      <w:r w:rsidRPr="00482F03">
        <w:rPr>
          <w:sz w:val="22"/>
          <w:szCs w:val="22"/>
        </w:rPr>
        <w:t>Sammenfatning</w:t>
      </w:r>
      <w:bookmarkEnd w:id="14"/>
    </w:p>
    <w:p w:rsidR="00091781" w:rsidRDefault="00A16975" w:rsidP="00091781">
      <w:r w:rsidRPr="00A16975">
        <w:t xml:space="preserve">Hjemmeplejens </w:t>
      </w:r>
      <w:r>
        <w:t>ydelser er Praktisk Hjælp, Personlig Pleje og Sygepleje. Den øk</w:t>
      </w:r>
      <w:r>
        <w:t>o</w:t>
      </w:r>
      <w:r>
        <w:t xml:space="preserve">nomiske konsekvens af flere ældre- den demografiske effekt, er kalkulerede ved at holde priserne i hjemmeplejen fast og lade antallet af ældre variere i perioden 2014-2020 i overensstemmelse med kommunens befolkningsprognose. </w:t>
      </w:r>
      <w:r w:rsidR="00F07B67">
        <w:t xml:space="preserve">De </w:t>
      </w:r>
      <w:r>
        <w:t xml:space="preserve">faste priser </w:t>
      </w:r>
      <w:r w:rsidR="006B50BD">
        <w:t xml:space="preserve">(enhedsomkostninger) </w:t>
      </w:r>
      <w:r w:rsidR="00F07B67">
        <w:t>tager afsæt i 201</w:t>
      </w:r>
      <w:r w:rsidR="006B50BD">
        <w:t>4</w:t>
      </w:r>
      <w:r w:rsidR="00F07B67">
        <w:t xml:space="preserve"> og </w:t>
      </w:r>
      <w:r>
        <w:t xml:space="preserve">er </w:t>
      </w:r>
      <w:r w:rsidR="00F07B67">
        <w:t xml:space="preserve">beregnet </w:t>
      </w:r>
      <w:r>
        <w:t xml:space="preserve">for </w:t>
      </w:r>
      <w:r w:rsidR="00F07B67">
        <w:t>hver enkelt a</w:t>
      </w:r>
      <w:r w:rsidR="00F07B67">
        <w:t>l</w:t>
      </w:r>
      <w:r w:rsidR="00F07B67">
        <w:t>dersgruppe</w:t>
      </w:r>
      <w:r w:rsidR="006B50BD">
        <w:t>.</w:t>
      </w:r>
      <w:r w:rsidR="00F07B67">
        <w:t xml:space="preserve"> Enhedsbeløbet er lig den gennemsnitlige udgift for kommunen pr. bo</w:t>
      </w:r>
      <w:r w:rsidR="00F07B67">
        <w:t>r</w:t>
      </w:r>
      <w:r w:rsidR="00F07B67">
        <w:t xml:space="preserve">ger </w:t>
      </w:r>
      <w:r w:rsidR="006B50BD">
        <w:t>pr. år</w:t>
      </w:r>
      <w:r w:rsidR="00F07B67">
        <w:t xml:space="preserve">. </w:t>
      </w:r>
    </w:p>
    <w:p w:rsidR="00386FEC" w:rsidRDefault="00386FEC" w:rsidP="00091781"/>
    <w:p w:rsidR="00386FEC" w:rsidRDefault="006B50BD" w:rsidP="00091781">
      <w:r>
        <w:t xml:space="preserve">DBM </w:t>
      </w:r>
      <w:r w:rsidR="00386FEC">
        <w:t>kalkulere</w:t>
      </w:r>
      <w:r>
        <w:t>r</w:t>
      </w:r>
      <w:r w:rsidR="00386FEC">
        <w:t xml:space="preserve"> enhedsbeløbene på grundlag af den faktiske adfærd i </w:t>
      </w:r>
      <w:r>
        <w:t xml:space="preserve">Hjemmeplejen </w:t>
      </w:r>
      <w:r w:rsidR="00427110">
        <w:t>(den faktiske leverede tid til borgern</w:t>
      </w:r>
      <w:r w:rsidR="00B44BAC">
        <w:t>e</w:t>
      </w:r>
      <w:r w:rsidR="00427110">
        <w:t xml:space="preserve">) </w:t>
      </w:r>
      <w:r w:rsidR="00386FEC">
        <w:t xml:space="preserve">og </w:t>
      </w:r>
      <w:r>
        <w:t xml:space="preserve">sammenholder </w:t>
      </w:r>
      <w:r w:rsidR="00386FEC">
        <w:t>d</w:t>
      </w:r>
      <w:r>
        <w:t xml:space="preserve">isse tal med de </w:t>
      </w:r>
      <w:r w:rsidR="00386FEC">
        <w:t>omkos</w:t>
      </w:r>
      <w:r w:rsidR="00386FEC">
        <w:t>t</w:t>
      </w:r>
      <w:r w:rsidR="00386FEC">
        <w:t>ninger, der har kunnet tælles</w:t>
      </w:r>
      <w:r w:rsidR="00427110">
        <w:t xml:space="preserve"> (de faktiske bogførte udgifter)</w:t>
      </w:r>
      <w:r w:rsidR="00386FEC">
        <w:t xml:space="preserve">. </w:t>
      </w:r>
      <w:r>
        <w:t xml:space="preserve">Det giver et </w:t>
      </w:r>
      <w:r w:rsidR="00386FEC">
        <w:t>realt u</w:t>
      </w:r>
      <w:r w:rsidR="00386FEC">
        <w:t>d</w:t>
      </w:r>
      <w:r w:rsidR="00386FEC">
        <w:t xml:space="preserve">tryk for, hvilke styk-priser der </w:t>
      </w:r>
      <w:r w:rsidR="00427110">
        <w:t xml:space="preserve">rent faktisk </w:t>
      </w:r>
      <w:r w:rsidR="00386FEC">
        <w:t xml:space="preserve">påvirker </w:t>
      </w:r>
      <w:r w:rsidR="00427110">
        <w:t xml:space="preserve">kommunens </w:t>
      </w:r>
      <w:r w:rsidR="00386FEC">
        <w:t>regnskab og bu</w:t>
      </w:r>
      <w:r w:rsidR="00386FEC">
        <w:t>d</w:t>
      </w:r>
      <w:r w:rsidR="00386FEC">
        <w:t xml:space="preserve">get. </w:t>
      </w:r>
    </w:p>
    <w:p w:rsidR="00F80A04" w:rsidRDefault="00F80A04" w:rsidP="00091781"/>
    <w:p w:rsidR="00485054" w:rsidRPr="00F07B67" w:rsidRDefault="009E6A5A" w:rsidP="00091781">
      <w:r>
        <w:t>Troværdige enhedsomkostninger afhænger bl.a. af, at der kontrolleres for prisfo</w:t>
      </w:r>
      <w:r>
        <w:t>r</w:t>
      </w:r>
      <w:r>
        <w:t xml:space="preserve">skelle mellem </w:t>
      </w:r>
      <w:r w:rsidR="00F07B67">
        <w:t>dag, aften og nat. Der</w:t>
      </w:r>
      <w:r w:rsidR="008C5D95">
        <w:t xml:space="preserve"> </w:t>
      </w:r>
      <w:r>
        <w:t xml:space="preserve">skal også kontrolleres for en evt. </w:t>
      </w:r>
      <w:r w:rsidR="00F07B67">
        <w:t>priseffekt fra en øget tyngdeudvikling i Personlig Pleje og Sygepleje. På begge områder må det konkluderes, at der ikke eksisterer priseffekter, der påvirker beregningen af e</w:t>
      </w:r>
      <w:r w:rsidR="00F07B67">
        <w:t>n</w:t>
      </w:r>
      <w:r w:rsidR="00F07B67">
        <w:t>hedsbeløbene.</w:t>
      </w:r>
    </w:p>
    <w:p w:rsidR="00485054" w:rsidRDefault="00485054" w:rsidP="00091781">
      <w:pPr>
        <w:rPr>
          <w:u w:val="single"/>
        </w:rPr>
      </w:pPr>
    </w:p>
    <w:p w:rsidR="00485054" w:rsidRDefault="00F335D4" w:rsidP="00091781">
      <w:pPr>
        <w:rPr>
          <w:u w:val="single"/>
        </w:rPr>
      </w:pPr>
      <w:r>
        <w:t xml:space="preserve">I </w:t>
      </w:r>
      <w:r w:rsidR="00482F03">
        <w:t xml:space="preserve">nedenstående tabel </w:t>
      </w:r>
      <w:r>
        <w:t>har DBM beregnet udviklingen i de samlede udgifter til omr</w:t>
      </w:r>
      <w:r>
        <w:t>å</w:t>
      </w:r>
      <w:r>
        <w:t xml:space="preserve">det på grundlag af den forventede demografi. </w:t>
      </w:r>
    </w:p>
    <w:p w:rsidR="00A16975" w:rsidRDefault="00A16975" w:rsidP="00091781">
      <w:pPr>
        <w:rPr>
          <w:u w:val="single"/>
        </w:rPr>
      </w:pPr>
    </w:p>
    <w:p w:rsidR="00F80A04" w:rsidRDefault="0017261E" w:rsidP="0017261E">
      <w:pPr>
        <w:pStyle w:val="Billedtekst"/>
        <w:rPr>
          <w:u w:val="single"/>
        </w:rPr>
      </w:pPr>
      <w:bookmarkStart w:id="15" w:name="_Toc414519472"/>
      <w:r>
        <w:t xml:space="preserve">Tabel </w:t>
      </w:r>
      <w:fldSimple w:instr=" SEQ Tabel \* ARABIC ">
        <w:r>
          <w:rPr>
            <w:noProof/>
          </w:rPr>
          <w:t>1</w:t>
        </w:r>
      </w:fldSimple>
      <w:r w:rsidR="004C7694">
        <w:t>: Udgifter til Praktisk Hjælp, P</w:t>
      </w:r>
      <w:r>
        <w:t>ersonlig Pleje og Sygepleje</w:t>
      </w:r>
      <w:proofErr w:type="gramStart"/>
      <w:r>
        <w:t xml:space="preserve"> (2014 priser</w:t>
      </w:r>
      <w:bookmarkEnd w:id="15"/>
      <w:proofErr w:type="gramEnd"/>
    </w:p>
    <w:p w:rsidR="00A16975" w:rsidRDefault="009C6547" w:rsidP="00091781">
      <w:pPr>
        <w:rPr>
          <w:u w:val="single"/>
        </w:rPr>
      </w:pPr>
      <w:r w:rsidRPr="009C6547">
        <w:rPr>
          <w:noProof/>
        </w:rPr>
        <w:drawing>
          <wp:inline distT="0" distB="0" distL="0" distR="0">
            <wp:extent cx="5400675" cy="1446756"/>
            <wp:effectExtent l="19050" t="0" r="9525" b="0"/>
            <wp:docPr id="9"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5400040" cy="1446586"/>
                    </a:xfrm>
                    <a:prstGeom prst="rect">
                      <a:avLst/>
                    </a:prstGeom>
                    <a:noFill/>
                    <a:ln w="9525">
                      <a:noFill/>
                      <a:miter lim="800000"/>
                      <a:headEnd/>
                      <a:tailEnd/>
                    </a:ln>
                  </pic:spPr>
                </pic:pic>
              </a:graphicData>
            </a:graphic>
          </wp:inline>
        </w:drawing>
      </w:r>
    </w:p>
    <w:p w:rsidR="00A16975" w:rsidRDefault="009C6547" w:rsidP="00091781">
      <w:pPr>
        <w:rPr>
          <w:sz w:val="16"/>
          <w:szCs w:val="16"/>
        </w:rPr>
      </w:pPr>
      <w:r w:rsidRPr="009C6547">
        <w:rPr>
          <w:sz w:val="16"/>
          <w:szCs w:val="16"/>
        </w:rPr>
        <w:t xml:space="preserve">Kilde: </w:t>
      </w:r>
      <w:r>
        <w:rPr>
          <w:sz w:val="16"/>
          <w:szCs w:val="16"/>
        </w:rPr>
        <w:t>E</w:t>
      </w:r>
      <w:r w:rsidRPr="009C6547">
        <w:rPr>
          <w:sz w:val="16"/>
          <w:szCs w:val="16"/>
        </w:rPr>
        <w:t>gne beregninger</w:t>
      </w:r>
    </w:p>
    <w:p w:rsidR="00482F03" w:rsidRPr="009C6547" w:rsidRDefault="00482F03" w:rsidP="00091781">
      <w:pPr>
        <w:rPr>
          <w:sz w:val="16"/>
          <w:szCs w:val="16"/>
        </w:rPr>
      </w:pPr>
    </w:p>
    <w:p w:rsidR="00F335D4" w:rsidRPr="00482F03" w:rsidRDefault="00F335D4" w:rsidP="00482F03">
      <w:pPr>
        <w:pStyle w:val="Overskrift2"/>
        <w:rPr>
          <w:sz w:val="22"/>
          <w:szCs w:val="22"/>
        </w:rPr>
      </w:pPr>
      <w:bookmarkStart w:id="16" w:name="_Toc414960273"/>
      <w:r w:rsidRPr="00482F03">
        <w:rPr>
          <w:sz w:val="22"/>
          <w:szCs w:val="22"/>
        </w:rPr>
        <w:t>Ydelser i Hjemmeplejen</w:t>
      </w:r>
      <w:bookmarkEnd w:id="16"/>
    </w:p>
    <w:p w:rsidR="00F335D4" w:rsidRDefault="00F335D4" w:rsidP="00F335D4">
      <w:r>
        <w:t>Det er langt overvejende de ældre borgere, der konsumerer hjemmepleje-ydelserne som følge af mental eller fysisk funktionsnedsættelse. Der er også yngre borgere, der modtager hjemmepleje, som følge af at være i samme livssituation med nedsat funktionsevne fx som følge af en psykisk lidelse. Men det er relativt få set i forhold til de ældre.</w:t>
      </w:r>
    </w:p>
    <w:p w:rsidR="00F335D4" w:rsidRDefault="00F335D4" w:rsidP="00F335D4"/>
    <w:p w:rsidR="00F335D4" w:rsidRPr="00B97892" w:rsidRDefault="00F335D4" w:rsidP="00482F03">
      <w:pPr>
        <w:pStyle w:val="Overskrift3"/>
      </w:pPr>
      <w:r w:rsidRPr="00B97892">
        <w:t>Hovedydelser:</w:t>
      </w:r>
    </w:p>
    <w:p w:rsidR="00F335D4" w:rsidRDefault="00F335D4" w:rsidP="00F335D4">
      <w:r w:rsidRPr="00B179BA">
        <w:t>Hjemmepleje</w:t>
      </w:r>
      <w:r>
        <w:t>n producerer en lang række enkeltydelser. Fælles er, at de overordnet kan kategoriseres i 3 hovedydelser 1) Praktisk Hjælp, 2) Personlig Pleje og 3) S</w:t>
      </w:r>
      <w:r>
        <w:t>y</w:t>
      </w:r>
      <w:r>
        <w:t>gepleje. Det er til disse hovedydelser, der skal bestemmes et enhedsbeløb (en pris). Essentielt er, at der er tale om de omkostninger, som kommunen rent faktisk afholder for at producerer ydelserne. Det er med andre ord organisationens adfærd, der skal spejles i enhedsbeløbene. Formålet er, at opnå indsigt i hjemmeplejens produktivitet og effektivitet og skabe et grundlag for opstilling af produktivitetsnø</w:t>
      </w:r>
      <w:r>
        <w:t>g</w:t>
      </w:r>
      <w:r>
        <w:t>letal.</w:t>
      </w:r>
    </w:p>
    <w:p w:rsidR="00A9633A" w:rsidRDefault="00A9633A" w:rsidP="00F335D4"/>
    <w:p w:rsidR="00F335D4" w:rsidRPr="00B97892" w:rsidRDefault="00F335D4" w:rsidP="00482F03">
      <w:pPr>
        <w:pStyle w:val="Overskrift3"/>
      </w:pPr>
      <w:r w:rsidRPr="00B97892">
        <w:lastRenderedPageBreak/>
        <w:t>Efterspørgslen</w:t>
      </w:r>
    </w:p>
    <w:p w:rsidR="00F335D4" w:rsidRDefault="00F335D4" w:rsidP="00F335D4">
      <w:r>
        <w:t>Målet er at få bestemt:</w:t>
      </w:r>
    </w:p>
    <w:p w:rsidR="00F335D4" w:rsidRDefault="00F335D4" w:rsidP="00F335D4"/>
    <w:p w:rsidR="00F335D4" w:rsidRDefault="00F335D4" w:rsidP="00F335D4">
      <w:pPr>
        <w:pStyle w:val="Listeafsnit"/>
        <w:numPr>
          <w:ilvl w:val="1"/>
          <w:numId w:val="2"/>
        </w:numPr>
        <w:ind w:left="360"/>
      </w:pPr>
      <w:proofErr w:type="gramStart"/>
      <w:r>
        <w:t>en pris pr. hjemmepleje-ydelse; dvs. antal kroner for den gennemsnitlige hjemmepleje ydelse leveret til borgerne,</w:t>
      </w:r>
      <w:proofErr w:type="gramEnd"/>
      <w:r>
        <w:br/>
      </w:r>
    </w:p>
    <w:p w:rsidR="00F335D4" w:rsidRDefault="00F335D4" w:rsidP="00F335D4">
      <w:pPr>
        <w:pStyle w:val="Listeafsnit"/>
        <w:numPr>
          <w:ilvl w:val="1"/>
          <w:numId w:val="2"/>
        </w:numPr>
        <w:ind w:left="360"/>
      </w:pPr>
      <w:r>
        <w:t>antal borgere opregnet til antal ”fuldtidsborgere”.</w:t>
      </w:r>
    </w:p>
    <w:p w:rsidR="00F335D4" w:rsidRDefault="00F335D4" w:rsidP="00F335D4"/>
    <w:p w:rsidR="00F335D4" w:rsidRDefault="00F335D4" w:rsidP="00F335D4">
      <w:r>
        <w:t>Kendskab til (styk-)prisen og antallet af fuldtidsborgere indskrevet i den kommun</w:t>
      </w:r>
      <w:r>
        <w:t>a</w:t>
      </w:r>
      <w:r>
        <w:t>le hjemmepleje er to helt centrale mål for en effektiv vurdering af, hvilken produ</w:t>
      </w:r>
      <w:r>
        <w:t>k</w:t>
      </w:r>
      <w:r>
        <w:t>tionskapacitet hjemmeplejen bør have i forhold til at kunne opfylde borgernes b</w:t>
      </w:r>
      <w:r>
        <w:t>e</w:t>
      </w:r>
      <w:r>
        <w:t xml:space="preserve">hov. </w:t>
      </w:r>
    </w:p>
    <w:p w:rsidR="00F335D4" w:rsidRDefault="00F335D4" w:rsidP="00F335D4"/>
    <w:p w:rsidR="00F335D4" w:rsidRPr="00B97892" w:rsidRDefault="00F335D4" w:rsidP="00482F03">
      <w:pPr>
        <w:pStyle w:val="Overskrift3"/>
      </w:pPr>
      <w:r w:rsidRPr="00B97892">
        <w:t>Data</w:t>
      </w:r>
    </w:p>
    <w:p w:rsidR="00F335D4" w:rsidRDefault="00F335D4" w:rsidP="00F335D4">
      <w:pPr>
        <w:pStyle w:val="Listeafsnit"/>
        <w:ind w:left="0"/>
      </w:pPr>
      <w:r>
        <w:t>Som datagrundlag for beregning af enhedsbeløb og antal fuldtidsborgere indgår alle borgere, der har fået ydelser leveret i 201</w:t>
      </w:r>
      <w:r w:rsidR="009C6547">
        <w:t>4</w:t>
      </w:r>
      <w:r>
        <w:t xml:space="preserve">. PRISME </w:t>
      </w:r>
      <w:r w:rsidR="009C6547">
        <w:t xml:space="preserve">leverer </w:t>
      </w:r>
      <w:proofErr w:type="spellStart"/>
      <w:r>
        <w:t>økonomital</w:t>
      </w:r>
      <w:proofErr w:type="spellEnd"/>
      <w:r>
        <w:t xml:space="preserve">, mens CARE </w:t>
      </w:r>
      <w:r w:rsidR="009C6547">
        <w:t xml:space="preserve">leverer de </w:t>
      </w:r>
      <w:r>
        <w:t>faglige data</w:t>
      </w:r>
      <w:r w:rsidR="009C6547">
        <w:t>.</w:t>
      </w:r>
      <w:r>
        <w:t xml:space="preserve"> </w:t>
      </w:r>
    </w:p>
    <w:p w:rsidR="00F335D4" w:rsidRDefault="00F335D4" w:rsidP="00F335D4">
      <w:pPr>
        <w:pStyle w:val="Listeafsnit"/>
        <w:ind w:left="0"/>
      </w:pPr>
    </w:p>
    <w:p w:rsidR="00F335D4" w:rsidRDefault="00F335D4" w:rsidP="00F335D4">
      <w:pPr>
        <w:pStyle w:val="Listeafsnit"/>
        <w:ind w:left="0"/>
      </w:pPr>
      <w:r>
        <w:t xml:space="preserve">Ydelserne tælles i leverede </w:t>
      </w:r>
      <w:r w:rsidR="009C6547">
        <w:t xml:space="preserve">timer </w:t>
      </w:r>
      <w:r>
        <w:t xml:space="preserve">pr. borger. Imidlertid kan </w:t>
      </w:r>
      <w:r w:rsidR="009C6547">
        <w:t xml:space="preserve">CARE </w:t>
      </w:r>
      <w:r>
        <w:t>ikke beregn</w:t>
      </w:r>
      <w:r w:rsidR="009C6547">
        <w:t xml:space="preserve">e </w:t>
      </w:r>
      <w:r>
        <w:t>antal fuldtidsborgere. I stedet benyttes en tilnærmet værdi i form af antal unikke CPR-numre.</w:t>
      </w:r>
    </w:p>
    <w:p w:rsidR="00F335D4" w:rsidRDefault="00F335D4" w:rsidP="00F335D4">
      <w:pPr>
        <w:ind w:left="709"/>
      </w:pPr>
    </w:p>
    <w:p w:rsidR="00F335D4" w:rsidRPr="00B97892" w:rsidRDefault="00F335D4" w:rsidP="00F335D4">
      <w:pPr>
        <w:pStyle w:val="Overskrift2"/>
        <w:rPr>
          <w:sz w:val="22"/>
          <w:szCs w:val="22"/>
        </w:rPr>
      </w:pPr>
      <w:bookmarkStart w:id="17" w:name="_Toc414960274"/>
      <w:r w:rsidRPr="00B97892">
        <w:rPr>
          <w:sz w:val="22"/>
          <w:szCs w:val="22"/>
        </w:rPr>
        <w:t>Problemet med dag, aften og nat.</w:t>
      </w:r>
      <w:bookmarkEnd w:id="17"/>
    </w:p>
    <w:p w:rsidR="00F335D4" w:rsidRDefault="00F335D4" w:rsidP="00F335D4">
      <w:r w:rsidRPr="00510B6C">
        <w:t xml:space="preserve">Leveret tid </w:t>
      </w:r>
      <w:r>
        <w:t>fordeler sig p</w:t>
      </w:r>
      <w:r w:rsidRPr="00510B6C">
        <w:t>å dag, aften og nat.</w:t>
      </w:r>
      <w:r>
        <w:t xml:space="preserve"> Der vil således naturligt være tale om 3 enhedsbeløb, da omkostningerne for at levere en ydelse om natten er højere end om aften som igen er højere end om dagen.</w:t>
      </w:r>
    </w:p>
    <w:p w:rsidR="00F335D4" w:rsidRDefault="00F335D4" w:rsidP="00F335D4"/>
    <w:p w:rsidR="00F335D4" w:rsidRDefault="00F335D4" w:rsidP="00F335D4">
      <w:r>
        <w:t>Hvis den relative fordeling af tiden mellem dag, aften og nat flytter sig fra år til år, betyder det reelt, at der ruller en priseffekt inde i modellen. Det eksisterer således flere enhedsbeløb og beregningen af den demografiske effekt bliver i høj grad et usikkert tal. Problemet kan imidlertid undviges, hvis den betingelse er opfyldt at den relative fordeling af leveret tid mellem dag, aften og nat kan antages at være den samme fra år til år. D</w:t>
      </w:r>
      <w:r w:rsidR="005747DF">
        <w:t xml:space="preserve">ette problem er undersøgt ved </w:t>
      </w:r>
      <w:r>
        <w:t>en stikprøve fra årene 2010, 2011, 2012, 2013 og 2014</w:t>
      </w:r>
      <w:proofErr w:type="gramStart"/>
      <w:r>
        <w:t>.Antal</w:t>
      </w:r>
      <w:proofErr w:type="gramEnd"/>
      <w:r>
        <w:t xml:space="preserve"> af </w:t>
      </w:r>
      <w:proofErr w:type="spellStart"/>
      <w:r>
        <w:t>records</w:t>
      </w:r>
      <w:proofErr w:type="spellEnd"/>
      <w:r>
        <w:t xml:space="preserve"> er godt 37.000. </w:t>
      </w:r>
    </w:p>
    <w:p w:rsidR="00F335D4" w:rsidRDefault="00F335D4" w:rsidP="00F335D4"/>
    <w:p w:rsidR="00F335D4" w:rsidRDefault="00F335D4" w:rsidP="00F335D4">
      <w:r>
        <w:t>Undersøgelsen er foretaget som en F-test, der sammenligner hvert år med ge</w:t>
      </w:r>
      <w:r>
        <w:t>n</w:t>
      </w:r>
      <w:r>
        <w:t xml:space="preserve">nemsnittet for de samme 5 år. Resultatet angives ved </w:t>
      </w:r>
      <w:r w:rsidRPr="00A57963">
        <w:t>CHI</w:t>
      </w:r>
      <w:r w:rsidRPr="00A57963">
        <w:rPr>
          <w:vertAlign w:val="superscript"/>
        </w:rPr>
        <w:t>2</w:t>
      </w:r>
      <w:r>
        <w:t>- koefficienterne.</w:t>
      </w:r>
    </w:p>
    <w:p w:rsidR="00F335D4" w:rsidRDefault="00F335D4" w:rsidP="00F335D4"/>
    <w:p w:rsidR="00F335D4" w:rsidRDefault="000B05D0" w:rsidP="0017261E">
      <w:pPr>
        <w:pStyle w:val="Billedtekst"/>
      </w:pPr>
      <w:r w:rsidRPr="000B05D0">
        <w:rPr>
          <w:b w:val="0"/>
          <w:noProof/>
        </w:rPr>
        <w:pict>
          <v:shapetype id="_x0000_t202" coordsize="21600,21600" o:spt="202" path="m,l,21600r21600,l21600,xe">
            <v:stroke joinstyle="miter"/>
            <v:path gradientshapeok="t" o:connecttype="rect"/>
          </v:shapetype>
          <v:shape id="_x0000_s1095" type="#_x0000_t202" style="position:absolute;margin-left:5.55pt;margin-top:11.3pt;width:490.05pt;height:127.8pt;z-index:251730944;mso-width-relative:margin;mso-height-relative:margin" stroked="f">
            <v:textbox style="mso-next-textbox:#_x0000_s1095">
              <w:txbxContent>
                <w:tbl>
                  <w:tblPr>
                    <w:tblW w:w="8783" w:type="dxa"/>
                    <w:tblInd w:w="57" w:type="dxa"/>
                    <w:tblLayout w:type="fixed"/>
                    <w:tblCellMar>
                      <w:left w:w="70" w:type="dxa"/>
                      <w:right w:w="70" w:type="dxa"/>
                    </w:tblCellMar>
                    <w:tblLook w:val="04A0"/>
                  </w:tblPr>
                  <w:tblGrid>
                    <w:gridCol w:w="1689"/>
                    <w:gridCol w:w="912"/>
                    <w:gridCol w:w="1238"/>
                    <w:gridCol w:w="1236"/>
                    <w:gridCol w:w="1236"/>
                    <w:gridCol w:w="1236"/>
                    <w:gridCol w:w="1236"/>
                  </w:tblGrid>
                  <w:tr w:rsidR="00220D70" w:rsidRPr="009A0095" w:rsidTr="00F335D4">
                    <w:trPr>
                      <w:trHeight w:val="437"/>
                    </w:trPr>
                    <w:tc>
                      <w:tcPr>
                        <w:tcW w:w="1440" w:type="dxa"/>
                        <w:tcBorders>
                          <w:top w:val="single" w:sz="4" w:space="0" w:color="auto"/>
                          <w:left w:val="single" w:sz="4" w:space="0" w:color="auto"/>
                          <w:bottom w:val="single" w:sz="4" w:space="0" w:color="auto"/>
                          <w:right w:val="nil"/>
                        </w:tcBorders>
                        <w:shd w:val="clear" w:color="000000" w:fill="DBE5F1"/>
                        <w:noWrap/>
                        <w:vAlign w:val="bottom"/>
                        <w:hideMark/>
                      </w:tcPr>
                      <w:p w:rsidR="00220D70" w:rsidRPr="008339C6" w:rsidRDefault="00220D70" w:rsidP="00F335D4">
                        <w:pPr>
                          <w:rPr>
                            <w:rFonts w:ascii="Calibri" w:hAnsi="Calibri"/>
                            <w:color w:val="000000"/>
                          </w:rPr>
                        </w:pPr>
                        <w:r w:rsidRPr="008339C6">
                          <w:rPr>
                            <w:rFonts w:ascii="Calibri" w:hAnsi="Calibri"/>
                            <w:color w:val="000000"/>
                          </w:rPr>
                          <w:t> </w:t>
                        </w:r>
                      </w:p>
                    </w:tc>
                    <w:tc>
                      <w:tcPr>
                        <w:tcW w:w="778" w:type="dxa"/>
                        <w:tcBorders>
                          <w:top w:val="single" w:sz="4" w:space="0" w:color="auto"/>
                          <w:left w:val="nil"/>
                          <w:bottom w:val="single" w:sz="4" w:space="0" w:color="auto"/>
                          <w:right w:val="nil"/>
                        </w:tcBorders>
                        <w:shd w:val="clear" w:color="000000" w:fill="DBE5F1"/>
                      </w:tcPr>
                      <w:p w:rsidR="00220D70" w:rsidRPr="009A0095" w:rsidRDefault="00220D70" w:rsidP="00F335D4">
                        <w:pPr>
                          <w:jc w:val="center"/>
                          <w:rPr>
                            <w:rFonts w:ascii="Calibri" w:hAnsi="Calibri"/>
                            <w:color w:val="000000"/>
                          </w:rPr>
                        </w:pPr>
                        <w:r w:rsidRPr="009A0095">
                          <w:rPr>
                            <w:rFonts w:ascii="Calibri" w:hAnsi="Calibri"/>
                            <w:color w:val="000000"/>
                          </w:rPr>
                          <w:t xml:space="preserve">Antal </w:t>
                        </w:r>
                        <w:proofErr w:type="spellStart"/>
                        <w:r w:rsidRPr="009A0095">
                          <w:rPr>
                            <w:rFonts w:ascii="Calibri" w:hAnsi="Calibri"/>
                            <w:color w:val="000000"/>
                          </w:rPr>
                          <w:t>r</w:t>
                        </w:r>
                        <w:r w:rsidRPr="009A0095">
                          <w:rPr>
                            <w:rFonts w:ascii="Calibri" w:hAnsi="Calibri"/>
                            <w:color w:val="000000"/>
                          </w:rPr>
                          <w:t>e</w:t>
                        </w:r>
                        <w:r w:rsidRPr="009A0095">
                          <w:rPr>
                            <w:rFonts w:ascii="Calibri" w:hAnsi="Calibri"/>
                            <w:color w:val="000000"/>
                          </w:rPr>
                          <w:t>cords</w:t>
                        </w:r>
                        <w:proofErr w:type="spellEnd"/>
                      </w:p>
                    </w:tc>
                    <w:tc>
                      <w:tcPr>
                        <w:tcW w:w="1056" w:type="dxa"/>
                        <w:tcBorders>
                          <w:top w:val="single" w:sz="4" w:space="0" w:color="auto"/>
                          <w:left w:val="nil"/>
                          <w:bottom w:val="single" w:sz="4" w:space="0" w:color="auto"/>
                          <w:right w:val="nil"/>
                        </w:tcBorders>
                        <w:shd w:val="clear" w:color="000000" w:fill="DBE5F1"/>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2010</w:t>
                        </w:r>
                      </w:p>
                    </w:tc>
                    <w:tc>
                      <w:tcPr>
                        <w:tcW w:w="1055" w:type="dxa"/>
                        <w:tcBorders>
                          <w:top w:val="single" w:sz="4" w:space="0" w:color="auto"/>
                          <w:left w:val="nil"/>
                          <w:bottom w:val="single" w:sz="4" w:space="0" w:color="auto"/>
                          <w:right w:val="nil"/>
                        </w:tcBorders>
                        <w:shd w:val="clear" w:color="000000" w:fill="DBE5F1"/>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2011</w:t>
                        </w:r>
                      </w:p>
                    </w:tc>
                    <w:tc>
                      <w:tcPr>
                        <w:tcW w:w="1055" w:type="dxa"/>
                        <w:tcBorders>
                          <w:top w:val="single" w:sz="4" w:space="0" w:color="auto"/>
                          <w:left w:val="nil"/>
                          <w:bottom w:val="single" w:sz="4" w:space="0" w:color="auto"/>
                          <w:right w:val="nil"/>
                        </w:tcBorders>
                        <w:shd w:val="clear" w:color="000000" w:fill="DBE5F1"/>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2012</w:t>
                        </w:r>
                      </w:p>
                    </w:tc>
                    <w:tc>
                      <w:tcPr>
                        <w:tcW w:w="1055" w:type="dxa"/>
                        <w:tcBorders>
                          <w:top w:val="single" w:sz="4" w:space="0" w:color="auto"/>
                          <w:left w:val="nil"/>
                          <w:bottom w:val="single" w:sz="4" w:space="0" w:color="auto"/>
                          <w:right w:val="nil"/>
                        </w:tcBorders>
                        <w:shd w:val="clear" w:color="000000" w:fill="DBE5F1"/>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2013</w:t>
                        </w:r>
                      </w:p>
                    </w:tc>
                    <w:tc>
                      <w:tcPr>
                        <w:tcW w:w="1055" w:type="dxa"/>
                        <w:tcBorders>
                          <w:top w:val="single" w:sz="4" w:space="0" w:color="auto"/>
                          <w:left w:val="nil"/>
                          <w:bottom w:val="single" w:sz="4" w:space="0" w:color="auto"/>
                          <w:right w:val="single" w:sz="4" w:space="0" w:color="auto"/>
                        </w:tcBorders>
                        <w:shd w:val="clear" w:color="000000" w:fill="DBE5F1"/>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2014</w:t>
                        </w:r>
                      </w:p>
                    </w:tc>
                  </w:tr>
                  <w:tr w:rsidR="00220D70" w:rsidRPr="009A0095" w:rsidTr="00F335D4">
                    <w:trPr>
                      <w:trHeight w:val="459"/>
                    </w:trPr>
                    <w:tc>
                      <w:tcPr>
                        <w:tcW w:w="1440" w:type="dxa"/>
                        <w:tcBorders>
                          <w:top w:val="nil"/>
                          <w:left w:val="single" w:sz="4" w:space="0" w:color="auto"/>
                          <w:bottom w:val="nil"/>
                          <w:right w:val="nil"/>
                        </w:tcBorders>
                        <w:shd w:val="clear" w:color="auto" w:fill="auto"/>
                        <w:noWrap/>
                        <w:vAlign w:val="bottom"/>
                        <w:hideMark/>
                      </w:tcPr>
                      <w:p w:rsidR="00220D70" w:rsidRPr="008339C6" w:rsidRDefault="00220D70" w:rsidP="00F335D4">
                        <w:pPr>
                          <w:rPr>
                            <w:rFonts w:ascii="Calibri" w:hAnsi="Calibri"/>
                            <w:color w:val="000000"/>
                          </w:rPr>
                        </w:pPr>
                        <w:r w:rsidRPr="008339C6">
                          <w:rPr>
                            <w:rFonts w:ascii="Calibri" w:hAnsi="Calibri"/>
                            <w:color w:val="000000"/>
                          </w:rPr>
                          <w:t>Praktisk hjælp</w:t>
                        </w:r>
                      </w:p>
                    </w:tc>
                    <w:tc>
                      <w:tcPr>
                        <w:tcW w:w="778" w:type="dxa"/>
                        <w:tcBorders>
                          <w:top w:val="nil"/>
                          <w:left w:val="nil"/>
                          <w:bottom w:val="nil"/>
                          <w:right w:val="nil"/>
                        </w:tcBorders>
                      </w:tcPr>
                      <w:p w:rsidR="00220D70" w:rsidRPr="009A0095" w:rsidRDefault="00220D70" w:rsidP="00F335D4">
                        <w:pPr>
                          <w:jc w:val="center"/>
                          <w:rPr>
                            <w:rFonts w:ascii="Calibri" w:hAnsi="Calibri"/>
                            <w:color w:val="000000"/>
                          </w:rPr>
                        </w:pPr>
                        <w:r w:rsidRPr="009A0095">
                          <w:rPr>
                            <w:rFonts w:ascii="Calibri" w:hAnsi="Calibri"/>
                            <w:color w:val="000000"/>
                          </w:rPr>
                          <w:br/>
                          <w:t>8.117</w:t>
                        </w:r>
                      </w:p>
                    </w:tc>
                    <w:tc>
                      <w:tcPr>
                        <w:tcW w:w="1056"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0,9999</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0,9999</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0,9998</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0,9997</w:t>
                        </w:r>
                      </w:p>
                    </w:tc>
                    <w:tc>
                      <w:tcPr>
                        <w:tcW w:w="1055" w:type="dxa"/>
                        <w:tcBorders>
                          <w:top w:val="nil"/>
                          <w:left w:val="nil"/>
                          <w:bottom w:val="nil"/>
                          <w:right w:val="single" w:sz="4" w:space="0" w:color="auto"/>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0,9997</w:t>
                        </w:r>
                      </w:p>
                    </w:tc>
                  </w:tr>
                  <w:tr w:rsidR="00220D70" w:rsidRPr="009A0095" w:rsidTr="00F335D4">
                    <w:trPr>
                      <w:trHeight w:val="556"/>
                    </w:trPr>
                    <w:tc>
                      <w:tcPr>
                        <w:tcW w:w="1440" w:type="dxa"/>
                        <w:tcBorders>
                          <w:top w:val="nil"/>
                          <w:left w:val="single" w:sz="4" w:space="0" w:color="auto"/>
                          <w:bottom w:val="nil"/>
                          <w:right w:val="nil"/>
                        </w:tcBorders>
                        <w:shd w:val="clear" w:color="auto" w:fill="auto"/>
                        <w:noWrap/>
                        <w:vAlign w:val="bottom"/>
                        <w:hideMark/>
                      </w:tcPr>
                      <w:p w:rsidR="00220D70" w:rsidRPr="008339C6" w:rsidRDefault="00220D70" w:rsidP="00F335D4">
                        <w:pPr>
                          <w:rPr>
                            <w:rFonts w:ascii="Calibri" w:hAnsi="Calibri"/>
                            <w:color w:val="000000"/>
                          </w:rPr>
                        </w:pPr>
                        <w:r w:rsidRPr="008339C6">
                          <w:rPr>
                            <w:rFonts w:ascii="Calibri" w:hAnsi="Calibri"/>
                            <w:color w:val="000000"/>
                          </w:rPr>
                          <w:t>Personlig hjælp</w:t>
                        </w:r>
                      </w:p>
                    </w:tc>
                    <w:tc>
                      <w:tcPr>
                        <w:tcW w:w="778" w:type="dxa"/>
                        <w:tcBorders>
                          <w:top w:val="nil"/>
                          <w:left w:val="nil"/>
                          <w:bottom w:val="nil"/>
                          <w:right w:val="nil"/>
                        </w:tcBorders>
                      </w:tcPr>
                      <w:p w:rsidR="00220D70" w:rsidRPr="009A0095" w:rsidRDefault="00220D70" w:rsidP="00F335D4">
                        <w:pPr>
                          <w:jc w:val="center"/>
                          <w:rPr>
                            <w:rFonts w:ascii="Calibri" w:hAnsi="Calibri"/>
                            <w:color w:val="000000"/>
                          </w:rPr>
                        </w:pPr>
                        <w:r w:rsidRPr="009A0095">
                          <w:rPr>
                            <w:rFonts w:ascii="Calibri" w:hAnsi="Calibri"/>
                            <w:color w:val="000000"/>
                          </w:rPr>
                          <w:br/>
                          <w:t>4.100</w:t>
                        </w:r>
                      </w:p>
                    </w:tc>
                    <w:tc>
                      <w:tcPr>
                        <w:tcW w:w="1056"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0,9416</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0,9744</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0,9908</w:t>
                        </w:r>
                      </w:p>
                    </w:tc>
                    <w:tc>
                      <w:tcPr>
                        <w:tcW w:w="1055" w:type="dxa"/>
                        <w:tcBorders>
                          <w:top w:val="nil"/>
                          <w:left w:val="nil"/>
                          <w:bottom w:val="nil"/>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0,9345</w:t>
                        </w:r>
                      </w:p>
                    </w:tc>
                    <w:tc>
                      <w:tcPr>
                        <w:tcW w:w="1055" w:type="dxa"/>
                        <w:tcBorders>
                          <w:top w:val="nil"/>
                          <w:left w:val="nil"/>
                          <w:bottom w:val="nil"/>
                          <w:right w:val="single" w:sz="4" w:space="0" w:color="auto"/>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0,8024</w:t>
                        </w:r>
                      </w:p>
                    </w:tc>
                  </w:tr>
                  <w:tr w:rsidR="00220D70" w:rsidRPr="009A0095" w:rsidTr="00F335D4">
                    <w:trPr>
                      <w:trHeight w:val="353"/>
                    </w:trPr>
                    <w:tc>
                      <w:tcPr>
                        <w:tcW w:w="1440" w:type="dxa"/>
                        <w:tcBorders>
                          <w:top w:val="nil"/>
                          <w:left w:val="single" w:sz="4" w:space="0" w:color="auto"/>
                          <w:bottom w:val="single" w:sz="4" w:space="0" w:color="auto"/>
                          <w:right w:val="nil"/>
                        </w:tcBorders>
                        <w:shd w:val="clear" w:color="auto" w:fill="auto"/>
                        <w:noWrap/>
                        <w:vAlign w:val="bottom"/>
                        <w:hideMark/>
                      </w:tcPr>
                      <w:p w:rsidR="00220D70" w:rsidRPr="008339C6" w:rsidRDefault="00220D70" w:rsidP="00F335D4">
                        <w:pPr>
                          <w:rPr>
                            <w:rFonts w:ascii="Calibri" w:hAnsi="Calibri"/>
                            <w:color w:val="000000"/>
                          </w:rPr>
                        </w:pPr>
                        <w:r w:rsidRPr="008339C6">
                          <w:rPr>
                            <w:rFonts w:ascii="Calibri" w:hAnsi="Calibri"/>
                            <w:color w:val="000000"/>
                          </w:rPr>
                          <w:t>Sygepleje</w:t>
                        </w:r>
                      </w:p>
                    </w:tc>
                    <w:tc>
                      <w:tcPr>
                        <w:tcW w:w="778" w:type="dxa"/>
                        <w:tcBorders>
                          <w:top w:val="nil"/>
                          <w:left w:val="nil"/>
                          <w:bottom w:val="single" w:sz="4" w:space="0" w:color="auto"/>
                          <w:right w:val="nil"/>
                        </w:tcBorders>
                      </w:tcPr>
                      <w:p w:rsidR="00220D70" w:rsidRPr="009A0095" w:rsidRDefault="00220D70" w:rsidP="00F335D4">
                        <w:pPr>
                          <w:jc w:val="center"/>
                          <w:rPr>
                            <w:rFonts w:ascii="Calibri" w:hAnsi="Calibri"/>
                            <w:color w:val="000000"/>
                          </w:rPr>
                        </w:pPr>
                        <w:r w:rsidRPr="009A0095">
                          <w:rPr>
                            <w:rFonts w:ascii="Calibri" w:hAnsi="Calibri"/>
                            <w:color w:val="000000"/>
                          </w:rPr>
                          <w:br/>
                        </w:r>
                        <w:r>
                          <w:rPr>
                            <w:rFonts w:ascii="Calibri" w:hAnsi="Calibri"/>
                            <w:color w:val="000000"/>
                          </w:rPr>
                          <w:t>5.732</w:t>
                        </w:r>
                      </w:p>
                    </w:tc>
                    <w:tc>
                      <w:tcPr>
                        <w:tcW w:w="1056" w:type="dxa"/>
                        <w:tcBorders>
                          <w:top w:val="nil"/>
                          <w:left w:val="nil"/>
                          <w:bottom w:val="single" w:sz="4" w:space="0" w:color="auto"/>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0,6332</w:t>
                        </w:r>
                      </w:p>
                    </w:tc>
                    <w:tc>
                      <w:tcPr>
                        <w:tcW w:w="1055" w:type="dxa"/>
                        <w:tcBorders>
                          <w:top w:val="nil"/>
                          <w:left w:val="nil"/>
                          <w:bottom w:val="single" w:sz="4" w:space="0" w:color="auto"/>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0,9207</w:t>
                        </w:r>
                      </w:p>
                    </w:tc>
                    <w:tc>
                      <w:tcPr>
                        <w:tcW w:w="1055" w:type="dxa"/>
                        <w:tcBorders>
                          <w:top w:val="nil"/>
                          <w:left w:val="nil"/>
                          <w:bottom w:val="single" w:sz="4" w:space="0" w:color="auto"/>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0,9806</w:t>
                        </w:r>
                      </w:p>
                    </w:tc>
                    <w:tc>
                      <w:tcPr>
                        <w:tcW w:w="1055" w:type="dxa"/>
                        <w:tcBorders>
                          <w:top w:val="nil"/>
                          <w:left w:val="nil"/>
                          <w:bottom w:val="single" w:sz="4" w:space="0" w:color="auto"/>
                          <w:right w:val="nil"/>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0,9987</w:t>
                        </w:r>
                      </w:p>
                    </w:tc>
                    <w:tc>
                      <w:tcPr>
                        <w:tcW w:w="1055" w:type="dxa"/>
                        <w:tcBorders>
                          <w:top w:val="nil"/>
                          <w:left w:val="nil"/>
                          <w:bottom w:val="single" w:sz="4" w:space="0" w:color="auto"/>
                          <w:right w:val="single" w:sz="4" w:space="0" w:color="auto"/>
                        </w:tcBorders>
                        <w:shd w:val="clear" w:color="auto" w:fill="auto"/>
                        <w:noWrap/>
                        <w:vAlign w:val="bottom"/>
                        <w:hideMark/>
                      </w:tcPr>
                      <w:p w:rsidR="00220D70" w:rsidRPr="008339C6" w:rsidRDefault="00220D70" w:rsidP="00F335D4">
                        <w:pPr>
                          <w:jc w:val="right"/>
                          <w:rPr>
                            <w:rFonts w:ascii="Calibri" w:hAnsi="Calibri"/>
                            <w:color w:val="000000"/>
                          </w:rPr>
                        </w:pPr>
                        <w:r w:rsidRPr="008339C6">
                          <w:rPr>
                            <w:rFonts w:ascii="Calibri" w:hAnsi="Calibri"/>
                            <w:color w:val="000000"/>
                          </w:rPr>
                          <w:t>0,682</w:t>
                        </w:r>
                      </w:p>
                    </w:tc>
                  </w:tr>
                </w:tbl>
                <w:p w:rsidR="00220D70" w:rsidRPr="002B183A" w:rsidRDefault="00220D70" w:rsidP="00F335D4">
                  <w:pPr>
                    <w:rPr>
                      <w:sz w:val="16"/>
                      <w:szCs w:val="16"/>
                    </w:rPr>
                  </w:pPr>
                  <w:r w:rsidRPr="002B183A">
                    <w:rPr>
                      <w:sz w:val="16"/>
                      <w:szCs w:val="16"/>
                    </w:rPr>
                    <w:t>Note: De relative fordelinger er beregnet på grundlag af tilfældig stikprøve på to måneder fra hvert af årene. Signif</w:t>
                  </w:r>
                  <w:r w:rsidRPr="002B183A">
                    <w:rPr>
                      <w:sz w:val="16"/>
                      <w:szCs w:val="16"/>
                    </w:rPr>
                    <w:t>i</w:t>
                  </w:r>
                  <w:r w:rsidRPr="002B183A">
                    <w:rPr>
                      <w:sz w:val="16"/>
                      <w:szCs w:val="16"/>
                    </w:rPr>
                    <w:t xml:space="preserve">kansniveauet er </w:t>
                  </w:r>
                  <w:proofErr w:type="gramStart"/>
                  <w:r w:rsidRPr="002B183A">
                    <w:rPr>
                      <w:sz w:val="16"/>
                      <w:szCs w:val="16"/>
                    </w:rPr>
                    <w:t>5%</w:t>
                  </w:r>
                  <w:proofErr w:type="gramEnd"/>
                  <w:r w:rsidRPr="002B183A">
                    <w:rPr>
                      <w:sz w:val="16"/>
                      <w:szCs w:val="16"/>
                    </w:rPr>
                    <w:t>.</w:t>
                  </w:r>
                </w:p>
                <w:p w:rsidR="00220D70" w:rsidRDefault="00220D70" w:rsidP="00F335D4">
                  <w:r>
                    <w:br/>
                  </w:r>
                  <w:r>
                    <w:br/>
                  </w:r>
                  <w:r>
                    <w:br/>
                  </w:r>
                </w:p>
              </w:txbxContent>
            </v:textbox>
          </v:shape>
        </w:pict>
      </w:r>
      <w:bookmarkStart w:id="18" w:name="_Toc414519473"/>
      <w:r w:rsidR="0017261E">
        <w:t xml:space="preserve">Tabel </w:t>
      </w:r>
      <w:fldSimple w:instr=" SEQ Tabel \* ARABIC ">
        <w:r w:rsidR="0017261E">
          <w:rPr>
            <w:noProof/>
          </w:rPr>
          <w:t>2</w:t>
        </w:r>
      </w:fldSimple>
      <w:r w:rsidR="0017261E">
        <w:t xml:space="preserve">: </w:t>
      </w:r>
      <w:r w:rsidR="0017261E" w:rsidRPr="00FD170A">
        <w:t>CHI2-koefficienter efter 2010-2014 op mod det fælles gennemsnit</w:t>
      </w:r>
      <w:bookmarkEnd w:id="18"/>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Pr>
        <w:pStyle w:val="Listeafsnit"/>
        <w:ind w:left="0"/>
      </w:pPr>
      <w:r>
        <w:t>Tabellen viser, at det ikke kan afvises at de 5 fordelinger er ens. Koefficienterne t</w:t>
      </w:r>
      <w:r>
        <w:t>y</w:t>
      </w:r>
      <w:r>
        <w:t>der på en stærk statistisk sammenhæng; sandsynligheden for at fordelingen ”Pra</w:t>
      </w:r>
      <w:r>
        <w:t>k</w:t>
      </w:r>
      <w:r>
        <w:t>tisk hjælp” i 2011 er ens med ”gennemsnittet for de 5 år” er 99,</w:t>
      </w:r>
      <w:proofErr w:type="gramStart"/>
      <w:r>
        <w:t>99%</w:t>
      </w:r>
      <w:proofErr w:type="gramEnd"/>
      <w:r>
        <w:t>. Havde koeff</w:t>
      </w:r>
      <w:r>
        <w:t>i</w:t>
      </w:r>
      <w:r>
        <w:t xml:space="preserve">cienten været under </w:t>
      </w:r>
      <w:proofErr w:type="gramStart"/>
      <w:r>
        <w:t>5%</w:t>
      </w:r>
      <w:proofErr w:type="gramEnd"/>
      <w:r>
        <w:t xml:space="preserve"> måtte det antages, at fordelingerne </w:t>
      </w:r>
      <w:r w:rsidRPr="003742A5">
        <w:t xml:space="preserve">ikke </w:t>
      </w:r>
      <w:r>
        <w:t xml:space="preserve">var ens. Samme konklusion kan gøres for alle øvrige koefficienter. </w:t>
      </w:r>
    </w:p>
    <w:p w:rsidR="00F335D4" w:rsidRDefault="00F335D4" w:rsidP="00F335D4">
      <w:pPr>
        <w:pStyle w:val="Listeafsnit"/>
        <w:ind w:left="0"/>
      </w:pPr>
    </w:p>
    <w:p w:rsidR="00F335D4" w:rsidRDefault="00F335D4" w:rsidP="00F335D4">
      <w:pPr>
        <w:pStyle w:val="Listeafsnit"/>
        <w:ind w:left="0"/>
      </w:pPr>
      <w:r>
        <w:lastRenderedPageBreak/>
        <w:t>Samlet ses, at ”gennemsnittet for de 5 år” for dag, aften og nat er en særdeles stærk repræsentant for de sande fordelinger fra hvert af årene 2010, 2011, 2012, 2013 og 2014. Det gælder for alle hovedydelserne Praktisk Hjælp, Personlig Pleje og Sygepleje.</w:t>
      </w:r>
    </w:p>
    <w:p w:rsidR="00F335D4" w:rsidRDefault="00F335D4" w:rsidP="00F335D4">
      <w:pPr>
        <w:pStyle w:val="Listeafsnit"/>
        <w:ind w:left="0"/>
      </w:pPr>
    </w:p>
    <w:p w:rsidR="00F335D4" w:rsidRDefault="00F335D4" w:rsidP="00F335D4">
      <w:pPr>
        <w:pStyle w:val="Listeafsnit"/>
        <w:ind w:left="0"/>
      </w:pPr>
      <w:r>
        <w:t>Det kan således udelukkes, at der er en (skjult) priseffekt inde modellen, der hidr</w:t>
      </w:r>
      <w:r>
        <w:t>ø</w:t>
      </w:r>
      <w:r>
        <w:t>rer fra dag, aften og nat.</w:t>
      </w:r>
      <w:r>
        <w:rPr>
          <w:rStyle w:val="Fodnotehenvisning"/>
          <w:u w:val="single"/>
        </w:rPr>
        <w:footnoteReference w:id="1"/>
      </w:r>
    </w:p>
    <w:p w:rsidR="00F335D4" w:rsidRPr="009A0095" w:rsidRDefault="00F335D4" w:rsidP="00F335D4">
      <w:pPr>
        <w:pStyle w:val="Listeafsnit"/>
        <w:ind w:left="0"/>
        <w:rPr>
          <w:u w:val="single"/>
        </w:rPr>
      </w:pPr>
    </w:p>
    <w:p w:rsidR="00F335D4" w:rsidRPr="00B97892" w:rsidRDefault="00F335D4" w:rsidP="00F335D4">
      <w:pPr>
        <w:pStyle w:val="Overskrift2"/>
        <w:rPr>
          <w:sz w:val="22"/>
          <w:szCs w:val="22"/>
        </w:rPr>
      </w:pPr>
      <w:bookmarkStart w:id="19" w:name="_Toc414960275"/>
      <w:r w:rsidRPr="00B97892">
        <w:rPr>
          <w:sz w:val="22"/>
          <w:szCs w:val="22"/>
        </w:rPr>
        <w:t>Problemet med forskelle i ydelsernes tyngde</w:t>
      </w:r>
      <w:bookmarkEnd w:id="19"/>
    </w:p>
    <w:p w:rsidR="00F335D4" w:rsidRDefault="00F335D4" w:rsidP="00F335D4">
      <w:r>
        <w:t xml:space="preserve">Modellen forudsætter at kvalitet og de tekniske produktionsforhold (arbejdsgange, IT, ledelse, kompetencer m.m.) er de samme på kort sigt (3 </w:t>
      </w:r>
      <w:proofErr w:type="spellStart"/>
      <w:r>
        <w:t>årig</w:t>
      </w:r>
      <w:proofErr w:type="spellEnd"/>
      <w:r>
        <w:t xml:space="preserve"> horisont), således at mængdeeffekten af den ændrede demografi kan isoleres og beskrives.</w:t>
      </w:r>
    </w:p>
    <w:p w:rsidR="00F335D4" w:rsidRDefault="00F335D4" w:rsidP="00F335D4"/>
    <w:p w:rsidR="00F335D4" w:rsidRDefault="00F335D4" w:rsidP="00F335D4">
      <w:r>
        <w:t xml:space="preserve">Denne forudsætning er ikke nødvendigvis opfyldt for Personlig Pleje og Sygepleje, da der er tale om personlige og individuelle visiterede ydelser. </w:t>
      </w:r>
      <w:r w:rsidR="005747DF">
        <w:t>Dette s</w:t>
      </w:r>
      <w:r>
        <w:t>pørgsmål er derfor undersøgt ved at sammenligne årene 2011,</w:t>
      </w:r>
      <w:r w:rsidR="005747DF">
        <w:t xml:space="preserve"> </w:t>
      </w:r>
      <w:r>
        <w:t>2012 og 2013.</w:t>
      </w:r>
    </w:p>
    <w:p w:rsidR="00F335D4" w:rsidRDefault="00F335D4" w:rsidP="00F335D4"/>
    <w:p w:rsidR="00F335D4" w:rsidRPr="001F638E" w:rsidRDefault="00F335D4" w:rsidP="00F335D4">
      <w:pPr>
        <w:pStyle w:val="Overskrift3"/>
      </w:pPr>
      <w:bookmarkStart w:id="20" w:name="_Toc400458015"/>
      <w:r w:rsidRPr="001F638E">
        <w:t>Personlig Pleje:</w:t>
      </w:r>
      <w:bookmarkEnd w:id="20"/>
    </w:p>
    <w:p w:rsidR="00F335D4" w:rsidRDefault="00F335D4" w:rsidP="00F335D4">
      <w:r>
        <w:t>Antallet af borgere der modtager Personlig Hjælp er steget fra 2011 (1.709 borg</w:t>
      </w:r>
      <w:r>
        <w:t>e</w:t>
      </w:r>
      <w:r>
        <w:t>re) til 2013 (2326 borgere) jf. tabellen. Stigningen er generelt i alle aldersgrupper. Derudover kendes, at kvinderne er i flertal og er generelt visiteret til flere ydelser end mændene.</w:t>
      </w:r>
    </w:p>
    <w:p w:rsidR="00F335D4" w:rsidRDefault="00F335D4" w:rsidP="00F335D4"/>
    <w:p w:rsidR="00F335D4" w:rsidRDefault="00F335D4" w:rsidP="00F335D4">
      <w:r>
        <w:t xml:space="preserve">Kvinderne er også gennemsnitligt ældre end mændene jf. nedenstående tabel. Samlet er der en lille faldende tendens i den gennemsnitlige alder. Denne tendens er generel for hele hjemmeplejen og synes at fortsætte i 2014. </w:t>
      </w:r>
    </w:p>
    <w:p w:rsidR="00F335D4" w:rsidRDefault="00F335D4" w:rsidP="00F335D4"/>
    <w:p w:rsidR="00F335D4" w:rsidRDefault="000B05D0" w:rsidP="0017261E">
      <w:pPr>
        <w:pStyle w:val="Billedtekst"/>
        <w:rPr>
          <w:b w:val="0"/>
        </w:rPr>
      </w:pPr>
      <w:r>
        <w:rPr>
          <w:b w:val="0"/>
          <w:noProof/>
        </w:rPr>
        <w:pict>
          <v:shape id="_x0000_s1098" type="#_x0000_t202" style="position:absolute;margin-left:6.25pt;margin-top:17.5pt;width:372.45pt;height:154.65pt;z-index:251734016;mso-width-relative:margin;mso-height-relative:margin" strokecolor="#002060">
            <v:textbox style="mso-next-textbox:#_x0000_s1098">
              <w:txbxContent>
                <w:p w:rsidR="00220D70" w:rsidRDefault="00220D70" w:rsidP="00F335D4">
                  <w:r w:rsidRPr="00BC6D9D">
                    <w:rPr>
                      <w:noProof/>
                    </w:rPr>
                    <w:drawing>
                      <wp:inline distT="0" distB="0" distL="0" distR="0">
                        <wp:extent cx="4527550" cy="1884257"/>
                        <wp:effectExtent l="19050" t="0" r="25400" b="1693"/>
                        <wp:docPr id="16" name="Diagram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xbxContent>
            </v:textbox>
          </v:shape>
        </w:pict>
      </w:r>
      <w:bookmarkStart w:id="21" w:name="_Toc414519460"/>
      <w:r w:rsidR="0017261E">
        <w:t xml:space="preserve">Figur </w:t>
      </w:r>
      <w:fldSimple w:instr=" SEQ Figur \* ARABIC ">
        <w:r w:rsidR="00B6715E">
          <w:rPr>
            <w:noProof/>
          </w:rPr>
          <w:t>1</w:t>
        </w:r>
      </w:fldSimple>
      <w:r w:rsidR="0017261E">
        <w:t xml:space="preserve">: </w:t>
      </w:r>
      <w:r w:rsidR="0017261E" w:rsidRPr="00746FE9">
        <w:t>Antal borgere med Personlig Hjælp efter aldersgruppe (2011 – 2013)</w:t>
      </w:r>
      <w:bookmarkEnd w:id="21"/>
      <w:r w:rsidR="00F335D4">
        <w:t xml:space="preserve"> </w:t>
      </w: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r>
        <w:t>Undersøgelsen inkluderer 5.669 borgere. Tyngden måles ved at sammenligne fra</w:t>
      </w:r>
      <w:r>
        <w:t>k</w:t>
      </w:r>
      <w:r>
        <w:t>tilerne for hvert af årene, hvor fraktilerne bestemmes på grundlag af den leverede tid</w:t>
      </w:r>
      <w:r>
        <w:rPr>
          <w:rStyle w:val="Fodnotehenvisning"/>
        </w:rPr>
        <w:footnoteReference w:id="2"/>
      </w:r>
      <w:r>
        <w:t xml:space="preserve">. </w:t>
      </w:r>
    </w:p>
    <w:p w:rsidR="0017261E" w:rsidRDefault="0017261E">
      <w:pPr>
        <w:rPr>
          <w:b/>
          <w:bCs/>
          <w:color w:val="4F81BD" w:themeColor="accent1"/>
          <w:sz w:val="18"/>
          <w:szCs w:val="18"/>
        </w:rPr>
      </w:pPr>
      <w:r>
        <w:br w:type="page"/>
      </w:r>
    </w:p>
    <w:p w:rsidR="00F335D4" w:rsidRDefault="000B05D0" w:rsidP="00F335D4">
      <w:pPr>
        <w:pStyle w:val="Billedtekst"/>
        <w:rPr>
          <w:b w:val="0"/>
        </w:rPr>
      </w:pPr>
      <w:r>
        <w:rPr>
          <w:b w:val="0"/>
          <w:noProof/>
        </w:rPr>
        <w:lastRenderedPageBreak/>
        <w:pict>
          <v:shape id="_x0000_s1096" type="#_x0000_t202" style="position:absolute;margin-left:6.25pt;margin-top:16.45pt;width:391.75pt;height:143.45pt;z-index:251731968;mso-width-relative:margin;mso-height-relative:margin">
            <v:textbox style="mso-next-textbox:#_x0000_s1096">
              <w:txbxContent>
                <w:p w:rsidR="00220D70" w:rsidRDefault="00220D70" w:rsidP="00F335D4">
                  <w:r w:rsidRPr="00CD4B61">
                    <w:rPr>
                      <w:noProof/>
                    </w:rPr>
                    <w:drawing>
                      <wp:inline distT="0" distB="0" distL="0" distR="0">
                        <wp:extent cx="4593590" cy="1694815"/>
                        <wp:effectExtent l="19050" t="0" r="16510" b="635"/>
                        <wp:docPr id="18" name="Diagram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xbxContent>
            </v:textbox>
          </v:shape>
        </w:pict>
      </w:r>
      <w:bookmarkStart w:id="22" w:name="_Toc414519461"/>
      <w:r w:rsidR="00F335D4">
        <w:t xml:space="preserve">Figur </w:t>
      </w:r>
      <w:fldSimple w:instr=" SEQ Figur \* ARABIC ">
        <w:r w:rsidR="00B6715E">
          <w:rPr>
            <w:noProof/>
          </w:rPr>
          <w:t>2</w:t>
        </w:r>
      </w:fldSimple>
      <w:r w:rsidR="00F335D4">
        <w:t xml:space="preserve">: </w:t>
      </w:r>
      <w:r w:rsidR="00F335D4" w:rsidRPr="00687CF1">
        <w:t>Gennemsnitlig alder for borgere med Personlig Pleje (2011 – 2013)</w:t>
      </w:r>
      <w:bookmarkEnd w:id="22"/>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r w:rsidRPr="006829E5">
        <w:t xml:space="preserve">Sammenligning </w:t>
      </w:r>
      <w:r>
        <w:t>er sket ved at bestemme fraktilerne i fordelingerne over leveret tid i den personlige Pleje for respektive år.</w:t>
      </w:r>
    </w:p>
    <w:p w:rsidR="00F335D4" w:rsidRPr="006829E5" w:rsidRDefault="00F335D4" w:rsidP="00F335D4"/>
    <w:p w:rsidR="00F335D4" w:rsidRDefault="00F335D4" w:rsidP="00F335D4">
      <w:r>
        <w:t>Fraktilerne fortæller, at de tre hyppighedsfordelinger stort set er ens. Faktisk er tidsforbruget faldende for alle fraktiler. Det betyder, at hyppighedsfordelingen fly</w:t>
      </w:r>
      <w:r>
        <w:t>t</w:t>
      </w:r>
      <w:r>
        <w:t>ter sig nedad og dermed at tyngden faktisk må antages at være en smule mindre. Skulle tyngden være stigende måtte det forventes at hyppighedsfordelingen flytt</w:t>
      </w:r>
      <w:r>
        <w:t>e</w:t>
      </w:r>
      <w:r>
        <w:t>de sig udad.</w:t>
      </w:r>
    </w:p>
    <w:p w:rsidR="00F335D4" w:rsidRDefault="00F335D4" w:rsidP="00F335D4"/>
    <w:p w:rsidR="00F335D4" w:rsidRDefault="00F335D4" w:rsidP="00F335D4">
      <w:r>
        <w:t xml:space="preserve">Hyppighedsfordelingen fortæller ikke umiddelbart noget om de sidste </w:t>
      </w:r>
      <w:proofErr w:type="gramStart"/>
      <w:r>
        <w:t>10%</w:t>
      </w:r>
      <w:proofErr w:type="gramEnd"/>
      <w:r>
        <w:t xml:space="preserve"> (fra 90 – 100%). Såfremt flere borgere kommer til i denne gruppe med et usædvanligt højt forbrug af tid dvs. for 2013 større end 286 timer pr. år, så kan det nemt påvirke det samlede billede af leverede tid. Dette er dog ikke tilfældet fra 2011 til 2013. Her er forbruget af tid faldet pr. borger tilhørende de sidste </w:t>
      </w:r>
      <w:proofErr w:type="gramStart"/>
      <w:r>
        <w:t>10%</w:t>
      </w:r>
      <w:proofErr w:type="gramEnd"/>
      <w:r>
        <w:t xml:space="preserve"> i fordelingen.</w:t>
      </w:r>
    </w:p>
    <w:p w:rsidR="00F335D4" w:rsidRDefault="00F335D4" w:rsidP="00F335D4">
      <w:pPr>
        <w:rPr>
          <w:b/>
        </w:rPr>
      </w:pPr>
    </w:p>
    <w:p w:rsidR="00F335D4" w:rsidRDefault="00F335D4" w:rsidP="00F335D4">
      <w:pPr>
        <w:pStyle w:val="Billedtekst"/>
      </w:pPr>
      <w:bookmarkStart w:id="23" w:name="_Toc414519474"/>
      <w:r>
        <w:t xml:space="preserve">Tabel </w:t>
      </w:r>
      <w:fldSimple w:instr=" SEQ Tabel \* ARABIC ">
        <w:r w:rsidR="0017261E">
          <w:rPr>
            <w:noProof/>
          </w:rPr>
          <w:t>3</w:t>
        </w:r>
      </w:fldSimple>
      <w:r>
        <w:t xml:space="preserve">: </w:t>
      </w:r>
      <w:r w:rsidRPr="00F6688E">
        <w:t>Fraktiler i hyppighedsfordelingen over leveret tid (2011-2013)</w:t>
      </w:r>
      <w:bookmarkEnd w:id="23"/>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0B05D0" w:rsidP="00F335D4">
      <w:r w:rsidRPr="000B05D0">
        <w:rPr>
          <w:b/>
        </w:rPr>
        <w:pict>
          <v:shape id="_x0000_s1103" type="#_x0000_t202" style="position:absolute;margin-left:4.9pt;margin-top:-88.1pt;width:406.85pt;height:146.4pt;z-index:251739136;mso-width-relative:margin;mso-height-relative:margin">
            <v:textbox style="mso-next-textbox:#_x0000_s1103">
              <w:txbxContent>
                <w:tbl>
                  <w:tblPr>
                    <w:tblW w:w="7831" w:type="dxa"/>
                    <w:tblInd w:w="60" w:type="dxa"/>
                    <w:tblCellMar>
                      <w:left w:w="70" w:type="dxa"/>
                      <w:right w:w="70" w:type="dxa"/>
                    </w:tblCellMar>
                    <w:tblLook w:val="04A0"/>
                  </w:tblPr>
                  <w:tblGrid>
                    <w:gridCol w:w="1528"/>
                    <w:gridCol w:w="2259"/>
                    <w:gridCol w:w="1348"/>
                    <w:gridCol w:w="1348"/>
                    <w:gridCol w:w="1348"/>
                  </w:tblGrid>
                  <w:tr w:rsidR="00220D70" w:rsidRPr="00C93D2D" w:rsidTr="00F335D4">
                    <w:trPr>
                      <w:trHeight w:val="300"/>
                    </w:trPr>
                    <w:tc>
                      <w:tcPr>
                        <w:tcW w:w="1528" w:type="dxa"/>
                        <w:tcBorders>
                          <w:top w:val="single" w:sz="8" w:space="0" w:color="auto"/>
                          <w:left w:val="single" w:sz="8" w:space="0" w:color="auto"/>
                          <w:bottom w:val="single" w:sz="8" w:space="0" w:color="auto"/>
                          <w:right w:val="nil"/>
                        </w:tcBorders>
                        <w:shd w:val="clear" w:color="000000" w:fill="B8CCE4"/>
                        <w:noWrap/>
                        <w:vAlign w:val="bottom"/>
                        <w:hideMark/>
                      </w:tcPr>
                      <w:p w:rsidR="00220D70" w:rsidRPr="00C93D2D" w:rsidRDefault="00220D70" w:rsidP="00F335D4">
                        <w:pPr>
                          <w:jc w:val="center"/>
                          <w:rPr>
                            <w:rFonts w:ascii="Calibri" w:hAnsi="Calibri"/>
                            <w:color w:val="000000"/>
                          </w:rPr>
                        </w:pPr>
                        <w:r w:rsidRPr="00C93D2D">
                          <w:rPr>
                            <w:rFonts w:ascii="Calibri" w:hAnsi="Calibri"/>
                            <w:color w:val="000000"/>
                          </w:rPr>
                          <w:t> </w:t>
                        </w:r>
                      </w:p>
                    </w:tc>
                    <w:tc>
                      <w:tcPr>
                        <w:tcW w:w="2259" w:type="dxa"/>
                        <w:tcBorders>
                          <w:top w:val="single" w:sz="8" w:space="0" w:color="auto"/>
                          <w:left w:val="nil"/>
                          <w:bottom w:val="single" w:sz="8" w:space="0" w:color="auto"/>
                          <w:right w:val="nil"/>
                        </w:tcBorders>
                        <w:shd w:val="clear" w:color="000000" w:fill="B8CCE4"/>
                        <w:noWrap/>
                        <w:vAlign w:val="bottom"/>
                        <w:hideMark/>
                      </w:tcPr>
                      <w:p w:rsidR="00220D70" w:rsidRPr="00C93D2D" w:rsidRDefault="00220D70" w:rsidP="00F335D4">
                        <w:pPr>
                          <w:jc w:val="center"/>
                          <w:rPr>
                            <w:rFonts w:ascii="Calibri" w:hAnsi="Calibri"/>
                            <w:color w:val="000000"/>
                          </w:rPr>
                        </w:pPr>
                        <w:r w:rsidRPr="00C93D2D">
                          <w:rPr>
                            <w:rFonts w:ascii="Calibri" w:hAnsi="Calibri"/>
                            <w:color w:val="000000"/>
                          </w:rPr>
                          <w:t> </w:t>
                        </w:r>
                      </w:p>
                    </w:tc>
                    <w:tc>
                      <w:tcPr>
                        <w:tcW w:w="1348" w:type="dxa"/>
                        <w:tcBorders>
                          <w:top w:val="single" w:sz="8" w:space="0" w:color="auto"/>
                          <w:left w:val="nil"/>
                          <w:bottom w:val="single" w:sz="8" w:space="0" w:color="auto"/>
                          <w:right w:val="nil"/>
                        </w:tcBorders>
                        <w:shd w:val="clear" w:color="000000" w:fill="B8CCE4"/>
                        <w:noWrap/>
                        <w:vAlign w:val="bottom"/>
                        <w:hideMark/>
                      </w:tcPr>
                      <w:p w:rsidR="00220D70" w:rsidRPr="00C93D2D" w:rsidRDefault="00220D70" w:rsidP="00F335D4">
                        <w:pPr>
                          <w:jc w:val="right"/>
                          <w:rPr>
                            <w:rFonts w:ascii="Calibri" w:hAnsi="Calibri"/>
                            <w:b/>
                            <w:color w:val="000000"/>
                          </w:rPr>
                        </w:pPr>
                        <w:r w:rsidRPr="00C93D2D">
                          <w:rPr>
                            <w:rFonts w:ascii="Calibri" w:hAnsi="Calibri"/>
                            <w:b/>
                            <w:color w:val="000000"/>
                          </w:rPr>
                          <w:t>2011</w:t>
                        </w:r>
                      </w:p>
                    </w:tc>
                    <w:tc>
                      <w:tcPr>
                        <w:tcW w:w="1348" w:type="dxa"/>
                        <w:tcBorders>
                          <w:top w:val="single" w:sz="8" w:space="0" w:color="auto"/>
                          <w:left w:val="nil"/>
                          <w:bottom w:val="single" w:sz="8" w:space="0" w:color="auto"/>
                          <w:right w:val="nil"/>
                        </w:tcBorders>
                        <w:shd w:val="clear" w:color="000000" w:fill="B8CCE4"/>
                        <w:noWrap/>
                        <w:vAlign w:val="bottom"/>
                        <w:hideMark/>
                      </w:tcPr>
                      <w:p w:rsidR="00220D70" w:rsidRPr="00C93D2D" w:rsidRDefault="00220D70" w:rsidP="00F335D4">
                        <w:pPr>
                          <w:jc w:val="right"/>
                          <w:rPr>
                            <w:rFonts w:ascii="Calibri" w:hAnsi="Calibri"/>
                            <w:b/>
                            <w:color w:val="000000"/>
                          </w:rPr>
                        </w:pPr>
                        <w:r w:rsidRPr="00C93D2D">
                          <w:rPr>
                            <w:rFonts w:ascii="Calibri" w:hAnsi="Calibri"/>
                            <w:b/>
                            <w:color w:val="000000"/>
                          </w:rPr>
                          <w:t>2012</w:t>
                        </w:r>
                      </w:p>
                    </w:tc>
                    <w:tc>
                      <w:tcPr>
                        <w:tcW w:w="1348" w:type="dxa"/>
                        <w:tcBorders>
                          <w:top w:val="single" w:sz="8" w:space="0" w:color="auto"/>
                          <w:left w:val="nil"/>
                          <w:bottom w:val="single" w:sz="8" w:space="0" w:color="auto"/>
                          <w:right w:val="single" w:sz="8" w:space="0" w:color="auto"/>
                        </w:tcBorders>
                        <w:shd w:val="clear" w:color="000000" w:fill="B8CCE4"/>
                        <w:noWrap/>
                        <w:vAlign w:val="bottom"/>
                        <w:hideMark/>
                      </w:tcPr>
                      <w:p w:rsidR="00220D70" w:rsidRPr="00C93D2D" w:rsidRDefault="00220D70" w:rsidP="00F335D4">
                        <w:pPr>
                          <w:jc w:val="right"/>
                          <w:rPr>
                            <w:rFonts w:ascii="Calibri" w:hAnsi="Calibri"/>
                            <w:b/>
                            <w:color w:val="000000"/>
                          </w:rPr>
                        </w:pPr>
                        <w:r w:rsidRPr="00C93D2D">
                          <w:rPr>
                            <w:rFonts w:ascii="Calibri" w:hAnsi="Calibri"/>
                            <w:b/>
                            <w:color w:val="000000"/>
                          </w:rPr>
                          <w:t>2013</w:t>
                        </w:r>
                      </w:p>
                    </w:tc>
                  </w:tr>
                  <w:tr w:rsidR="00220D70" w:rsidRPr="00C93D2D" w:rsidTr="00F335D4">
                    <w:trPr>
                      <w:trHeight w:val="288"/>
                    </w:trPr>
                    <w:tc>
                      <w:tcPr>
                        <w:tcW w:w="1528" w:type="dxa"/>
                        <w:vMerge w:val="restart"/>
                        <w:tcBorders>
                          <w:top w:val="nil"/>
                          <w:left w:val="single" w:sz="8" w:space="0" w:color="auto"/>
                          <w:bottom w:val="single" w:sz="4" w:space="0" w:color="000000"/>
                          <w:right w:val="nil"/>
                        </w:tcBorders>
                        <w:shd w:val="clear" w:color="auto" w:fill="auto"/>
                        <w:noWrap/>
                        <w:vAlign w:val="center"/>
                        <w:hideMark/>
                      </w:tcPr>
                      <w:p w:rsidR="00220D70" w:rsidRPr="00C93D2D" w:rsidRDefault="00220D70" w:rsidP="00F335D4">
                        <w:pPr>
                          <w:jc w:val="center"/>
                          <w:rPr>
                            <w:rFonts w:ascii="Calibri" w:hAnsi="Calibri"/>
                            <w:color w:val="000000"/>
                          </w:rPr>
                        </w:pPr>
                        <w:proofErr w:type="gramStart"/>
                        <w:r w:rsidRPr="00C93D2D">
                          <w:rPr>
                            <w:rFonts w:ascii="Calibri" w:hAnsi="Calibri"/>
                            <w:color w:val="000000"/>
                          </w:rPr>
                          <w:t>25%-fraktil</w:t>
                        </w:r>
                        <w:proofErr w:type="gramEnd"/>
                      </w:p>
                    </w:tc>
                    <w:tc>
                      <w:tcPr>
                        <w:tcW w:w="2259" w:type="dxa"/>
                        <w:tcBorders>
                          <w:top w:val="nil"/>
                          <w:left w:val="nil"/>
                          <w:bottom w:val="nil"/>
                          <w:right w:val="nil"/>
                        </w:tcBorders>
                        <w:shd w:val="clear" w:color="auto" w:fill="auto"/>
                        <w:noWrap/>
                        <w:vAlign w:val="center"/>
                        <w:hideMark/>
                      </w:tcPr>
                      <w:p w:rsidR="00220D70" w:rsidRPr="00C93D2D" w:rsidRDefault="00220D70" w:rsidP="00F335D4">
                        <w:pPr>
                          <w:rPr>
                            <w:rFonts w:ascii="Calibri" w:hAnsi="Calibri"/>
                            <w:color w:val="000000"/>
                          </w:rPr>
                        </w:pPr>
                        <w:r w:rsidRPr="00C93D2D">
                          <w:rPr>
                            <w:rFonts w:ascii="Calibri" w:hAnsi="Calibri"/>
                            <w:color w:val="000000"/>
                          </w:rPr>
                          <w:t>Antal minutter pr. borger</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750</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780</w:t>
                        </w:r>
                      </w:p>
                    </w:tc>
                    <w:tc>
                      <w:tcPr>
                        <w:tcW w:w="1348" w:type="dxa"/>
                        <w:tcBorders>
                          <w:top w:val="nil"/>
                          <w:left w:val="nil"/>
                          <w:bottom w:val="nil"/>
                          <w:right w:val="single" w:sz="8" w:space="0" w:color="auto"/>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726</w:t>
                        </w:r>
                      </w:p>
                    </w:tc>
                  </w:tr>
                  <w:tr w:rsidR="00220D70" w:rsidRPr="00C93D2D" w:rsidTr="00F335D4">
                    <w:trPr>
                      <w:trHeight w:val="288"/>
                    </w:trPr>
                    <w:tc>
                      <w:tcPr>
                        <w:tcW w:w="1528" w:type="dxa"/>
                        <w:vMerge/>
                        <w:tcBorders>
                          <w:top w:val="nil"/>
                          <w:left w:val="single" w:sz="8" w:space="0" w:color="auto"/>
                          <w:bottom w:val="single" w:sz="4" w:space="0" w:color="000000"/>
                          <w:right w:val="nil"/>
                        </w:tcBorders>
                        <w:vAlign w:val="center"/>
                        <w:hideMark/>
                      </w:tcPr>
                      <w:p w:rsidR="00220D70" w:rsidRPr="00C93D2D" w:rsidRDefault="00220D70" w:rsidP="00F335D4">
                        <w:pPr>
                          <w:rPr>
                            <w:rFonts w:ascii="Calibri" w:hAnsi="Calibri"/>
                            <w:color w:val="000000"/>
                          </w:rPr>
                        </w:pPr>
                      </w:p>
                    </w:tc>
                    <w:tc>
                      <w:tcPr>
                        <w:tcW w:w="2259" w:type="dxa"/>
                        <w:tcBorders>
                          <w:top w:val="nil"/>
                          <w:left w:val="nil"/>
                          <w:bottom w:val="single" w:sz="4" w:space="0" w:color="auto"/>
                          <w:right w:val="nil"/>
                        </w:tcBorders>
                        <w:shd w:val="clear" w:color="000000" w:fill="D8D8D8"/>
                        <w:noWrap/>
                        <w:vAlign w:val="center"/>
                        <w:hideMark/>
                      </w:tcPr>
                      <w:p w:rsidR="00220D70" w:rsidRPr="00C93D2D" w:rsidRDefault="00220D70" w:rsidP="00F335D4">
                        <w:pPr>
                          <w:rPr>
                            <w:rFonts w:ascii="Calibri" w:hAnsi="Calibri"/>
                            <w:color w:val="000000"/>
                          </w:rPr>
                        </w:pPr>
                        <w:proofErr w:type="spellStart"/>
                        <w:r w:rsidRPr="00C93D2D">
                          <w:rPr>
                            <w:rFonts w:ascii="Calibri" w:hAnsi="Calibri"/>
                            <w:color w:val="000000"/>
                          </w:rPr>
                          <w:t>Gns</w:t>
                        </w:r>
                        <w:proofErr w:type="spellEnd"/>
                        <w:r w:rsidRPr="00C93D2D">
                          <w:rPr>
                            <w:rFonts w:ascii="Calibri" w:hAnsi="Calibri"/>
                            <w:color w:val="000000"/>
                          </w:rPr>
                          <w:t>. alder</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73,9</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73,6</w:t>
                        </w:r>
                      </w:p>
                    </w:tc>
                    <w:tc>
                      <w:tcPr>
                        <w:tcW w:w="1348" w:type="dxa"/>
                        <w:tcBorders>
                          <w:top w:val="nil"/>
                          <w:left w:val="nil"/>
                          <w:bottom w:val="single" w:sz="4" w:space="0" w:color="auto"/>
                          <w:right w:val="single" w:sz="8" w:space="0" w:color="auto"/>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73,6</w:t>
                        </w:r>
                      </w:p>
                    </w:tc>
                  </w:tr>
                  <w:tr w:rsidR="00220D70" w:rsidRPr="00C93D2D" w:rsidTr="00F335D4">
                    <w:trPr>
                      <w:trHeight w:val="288"/>
                    </w:trPr>
                    <w:tc>
                      <w:tcPr>
                        <w:tcW w:w="1528" w:type="dxa"/>
                        <w:vMerge w:val="restart"/>
                        <w:tcBorders>
                          <w:top w:val="nil"/>
                          <w:left w:val="single" w:sz="8" w:space="0" w:color="auto"/>
                          <w:bottom w:val="single" w:sz="4" w:space="0" w:color="000000"/>
                          <w:right w:val="nil"/>
                        </w:tcBorders>
                        <w:shd w:val="clear" w:color="auto" w:fill="auto"/>
                        <w:noWrap/>
                        <w:vAlign w:val="center"/>
                        <w:hideMark/>
                      </w:tcPr>
                      <w:p w:rsidR="00220D70" w:rsidRPr="00C93D2D" w:rsidRDefault="00220D70" w:rsidP="00F335D4">
                        <w:pPr>
                          <w:jc w:val="center"/>
                          <w:rPr>
                            <w:rFonts w:ascii="Calibri" w:hAnsi="Calibri"/>
                            <w:color w:val="000000"/>
                          </w:rPr>
                        </w:pPr>
                        <w:proofErr w:type="gramStart"/>
                        <w:r w:rsidRPr="00C93D2D">
                          <w:rPr>
                            <w:rFonts w:ascii="Calibri" w:hAnsi="Calibri"/>
                            <w:color w:val="000000"/>
                          </w:rPr>
                          <w:t>50%-fraktil</w:t>
                        </w:r>
                        <w:proofErr w:type="gramEnd"/>
                      </w:p>
                    </w:tc>
                    <w:tc>
                      <w:tcPr>
                        <w:tcW w:w="2259" w:type="dxa"/>
                        <w:tcBorders>
                          <w:top w:val="nil"/>
                          <w:left w:val="nil"/>
                          <w:bottom w:val="nil"/>
                          <w:right w:val="nil"/>
                        </w:tcBorders>
                        <w:shd w:val="clear" w:color="auto" w:fill="auto"/>
                        <w:noWrap/>
                        <w:vAlign w:val="center"/>
                        <w:hideMark/>
                      </w:tcPr>
                      <w:p w:rsidR="00220D70" w:rsidRPr="00C93D2D" w:rsidRDefault="00220D70" w:rsidP="00F335D4">
                        <w:pPr>
                          <w:rPr>
                            <w:rFonts w:ascii="Calibri" w:hAnsi="Calibri"/>
                            <w:color w:val="000000"/>
                          </w:rPr>
                        </w:pPr>
                        <w:r w:rsidRPr="00C93D2D">
                          <w:rPr>
                            <w:rFonts w:ascii="Calibri" w:hAnsi="Calibri"/>
                            <w:color w:val="000000"/>
                          </w:rPr>
                          <w:t>Antal minutter pr. borger</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2.905</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2.816</w:t>
                        </w:r>
                      </w:p>
                    </w:tc>
                    <w:tc>
                      <w:tcPr>
                        <w:tcW w:w="1348" w:type="dxa"/>
                        <w:tcBorders>
                          <w:top w:val="nil"/>
                          <w:left w:val="nil"/>
                          <w:bottom w:val="nil"/>
                          <w:right w:val="single" w:sz="8" w:space="0" w:color="auto"/>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2.755</w:t>
                        </w:r>
                      </w:p>
                    </w:tc>
                  </w:tr>
                  <w:tr w:rsidR="00220D70" w:rsidRPr="00C93D2D" w:rsidTr="00F335D4">
                    <w:trPr>
                      <w:trHeight w:val="288"/>
                    </w:trPr>
                    <w:tc>
                      <w:tcPr>
                        <w:tcW w:w="1528" w:type="dxa"/>
                        <w:vMerge/>
                        <w:tcBorders>
                          <w:top w:val="nil"/>
                          <w:left w:val="single" w:sz="8" w:space="0" w:color="auto"/>
                          <w:bottom w:val="single" w:sz="4" w:space="0" w:color="000000"/>
                          <w:right w:val="nil"/>
                        </w:tcBorders>
                        <w:vAlign w:val="center"/>
                        <w:hideMark/>
                      </w:tcPr>
                      <w:p w:rsidR="00220D70" w:rsidRPr="00C93D2D" w:rsidRDefault="00220D70" w:rsidP="00F335D4">
                        <w:pPr>
                          <w:rPr>
                            <w:rFonts w:ascii="Calibri" w:hAnsi="Calibri"/>
                            <w:color w:val="000000"/>
                          </w:rPr>
                        </w:pPr>
                      </w:p>
                    </w:tc>
                    <w:tc>
                      <w:tcPr>
                        <w:tcW w:w="2259" w:type="dxa"/>
                        <w:tcBorders>
                          <w:top w:val="nil"/>
                          <w:left w:val="nil"/>
                          <w:bottom w:val="single" w:sz="4" w:space="0" w:color="auto"/>
                          <w:right w:val="nil"/>
                        </w:tcBorders>
                        <w:shd w:val="clear" w:color="000000" w:fill="D8D8D8"/>
                        <w:noWrap/>
                        <w:vAlign w:val="center"/>
                        <w:hideMark/>
                      </w:tcPr>
                      <w:p w:rsidR="00220D70" w:rsidRPr="00C93D2D" w:rsidRDefault="00220D70" w:rsidP="00F335D4">
                        <w:pPr>
                          <w:rPr>
                            <w:rFonts w:ascii="Calibri" w:hAnsi="Calibri"/>
                            <w:color w:val="000000"/>
                          </w:rPr>
                        </w:pPr>
                        <w:proofErr w:type="spellStart"/>
                        <w:r w:rsidRPr="00C93D2D">
                          <w:rPr>
                            <w:rFonts w:ascii="Calibri" w:hAnsi="Calibri"/>
                            <w:color w:val="000000"/>
                          </w:rPr>
                          <w:t>Gns</w:t>
                        </w:r>
                        <w:proofErr w:type="spellEnd"/>
                        <w:r w:rsidRPr="00C93D2D">
                          <w:rPr>
                            <w:rFonts w:ascii="Calibri" w:hAnsi="Calibri"/>
                            <w:color w:val="000000"/>
                          </w:rPr>
                          <w:t>. alder</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74,9</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76,0</w:t>
                        </w:r>
                      </w:p>
                    </w:tc>
                    <w:tc>
                      <w:tcPr>
                        <w:tcW w:w="1348" w:type="dxa"/>
                        <w:tcBorders>
                          <w:top w:val="nil"/>
                          <w:left w:val="nil"/>
                          <w:bottom w:val="single" w:sz="4" w:space="0" w:color="auto"/>
                          <w:right w:val="single" w:sz="8" w:space="0" w:color="auto"/>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75,2</w:t>
                        </w:r>
                      </w:p>
                    </w:tc>
                  </w:tr>
                  <w:tr w:rsidR="00220D70" w:rsidRPr="00C93D2D" w:rsidTr="00F335D4">
                    <w:trPr>
                      <w:trHeight w:val="288"/>
                    </w:trPr>
                    <w:tc>
                      <w:tcPr>
                        <w:tcW w:w="1528" w:type="dxa"/>
                        <w:vMerge w:val="restart"/>
                        <w:tcBorders>
                          <w:top w:val="nil"/>
                          <w:left w:val="single" w:sz="8" w:space="0" w:color="auto"/>
                          <w:bottom w:val="single" w:sz="4" w:space="0" w:color="000000"/>
                          <w:right w:val="nil"/>
                        </w:tcBorders>
                        <w:shd w:val="clear" w:color="auto" w:fill="auto"/>
                        <w:noWrap/>
                        <w:vAlign w:val="center"/>
                        <w:hideMark/>
                      </w:tcPr>
                      <w:p w:rsidR="00220D70" w:rsidRPr="00C93D2D" w:rsidRDefault="00220D70" w:rsidP="00F335D4">
                        <w:pPr>
                          <w:jc w:val="center"/>
                          <w:rPr>
                            <w:rFonts w:ascii="Calibri" w:hAnsi="Calibri"/>
                            <w:color w:val="000000"/>
                          </w:rPr>
                        </w:pPr>
                        <w:proofErr w:type="gramStart"/>
                        <w:r w:rsidRPr="00C93D2D">
                          <w:rPr>
                            <w:rFonts w:ascii="Calibri" w:hAnsi="Calibri"/>
                            <w:color w:val="000000"/>
                          </w:rPr>
                          <w:t>75%-fraktil</w:t>
                        </w:r>
                        <w:proofErr w:type="gramEnd"/>
                      </w:p>
                    </w:tc>
                    <w:tc>
                      <w:tcPr>
                        <w:tcW w:w="2259" w:type="dxa"/>
                        <w:tcBorders>
                          <w:top w:val="nil"/>
                          <w:left w:val="nil"/>
                          <w:bottom w:val="nil"/>
                          <w:right w:val="nil"/>
                        </w:tcBorders>
                        <w:shd w:val="clear" w:color="auto" w:fill="auto"/>
                        <w:noWrap/>
                        <w:vAlign w:val="center"/>
                        <w:hideMark/>
                      </w:tcPr>
                      <w:p w:rsidR="00220D70" w:rsidRPr="00C93D2D" w:rsidRDefault="00220D70" w:rsidP="00F335D4">
                        <w:pPr>
                          <w:rPr>
                            <w:rFonts w:ascii="Calibri" w:hAnsi="Calibri"/>
                            <w:color w:val="000000"/>
                          </w:rPr>
                        </w:pPr>
                        <w:r w:rsidRPr="00C93D2D">
                          <w:rPr>
                            <w:rFonts w:ascii="Calibri" w:hAnsi="Calibri"/>
                            <w:color w:val="000000"/>
                          </w:rPr>
                          <w:t>Antal minutter pr. borger</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8.055</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8.189</w:t>
                        </w:r>
                      </w:p>
                    </w:tc>
                    <w:tc>
                      <w:tcPr>
                        <w:tcW w:w="1348" w:type="dxa"/>
                        <w:tcBorders>
                          <w:top w:val="nil"/>
                          <w:left w:val="nil"/>
                          <w:bottom w:val="nil"/>
                          <w:right w:val="single" w:sz="8" w:space="0" w:color="auto"/>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7.516</w:t>
                        </w:r>
                      </w:p>
                    </w:tc>
                  </w:tr>
                  <w:tr w:rsidR="00220D70" w:rsidRPr="00C93D2D" w:rsidTr="00F335D4">
                    <w:trPr>
                      <w:trHeight w:val="288"/>
                    </w:trPr>
                    <w:tc>
                      <w:tcPr>
                        <w:tcW w:w="1528" w:type="dxa"/>
                        <w:vMerge/>
                        <w:tcBorders>
                          <w:top w:val="nil"/>
                          <w:left w:val="single" w:sz="8" w:space="0" w:color="auto"/>
                          <w:bottom w:val="single" w:sz="4" w:space="0" w:color="000000"/>
                          <w:right w:val="nil"/>
                        </w:tcBorders>
                        <w:vAlign w:val="center"/>
                        <w:hideMark/>
                      </w:tcPr>
                      <w:p w:rsidR="00220D70" w:rsidRPr="00C93D2D" w:rsidRDefault="00220D70" w:rsidP="00F335D4">
                        <w:pPr>
                          <w:rPr>
                            <w:rFonts w:ascii="Calibri" w:hAnsi="Calibri"/>
                            <w:color w:val="000000"/>
                          </w:rPr>
                        </w:pPr>
                      </w:p>
                    </w:tc>
                    <w:tc>
                      <w:tcPr>
                        <w:tcW w:w="2259" w:type="dxa"/>
                        <w:tcBorders>
                          <w:top w:val="nil"/>
                          <w:left w:val="nil"/>
                          <w:bottom w:val="single" w:sz="4" w:space="0" w:color="auto"/>
                          <w:right w:val="nil"/>
                        </w:tcBorders>
                        <w:shd w:val="clear" w:color="000000" w:fill="D8D8D8"/>
                        <w:noWrap/>
                        <w:vAlign w:val="center"/>
                        <w:hideMark/>
                      </w:tcPr>
                      <w:p w:rsidR="00220D70" w:rsidRPr="00C93D2D" w:rsidRDefault="00220D70" w:rsidP="00F335D4">
                        <w:pPr>
                          <w:rPr>
                            <w:rFonts w:ascii="Calibri" w:hAnsi="Calibri"/>
                            <w:color w:val="000000"/>
                          </w:rPr>
                        </w:pPr>
                        <w:proofErr w:type="spellStart"/>
                        <w:r w:rsidRPr="00C93D2D">
                          <w:rPr>
                            <w:rFonts w:ascii="Calibri" w:hAnsi="Calibri"/>
                            <w:color w:val="000000"/>
                          </w:rPr>
                          <w:t>Gns</w:t>
                        </w:r>
                        <w:proofErr w:type="spellEnd"/>
                        <w:r w:rsidRPr="00C93D2D">
                          <w:rPr>
                            <w:rFonts w:ascii="Calibri" w:hAnsi="Calibri"/>
                            <w:color w:val="000000"/>
                          </w:rPr>
                          <w:t>. alder</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75,8</w:t>
                        </w:r>
                      </w:p>
                    </w:tc>
                    <w:tc>
                      <w:tcPr>
                        <w:tcW w:w="1348" w:type="dxa"/>
                        <w:tcBorders>
                          <w:top w:val="nil"/>
                          <w:left w:val="nil"/>
                          <w:bottom w:val="single" w:sz="4"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76,2</w:t>
                        </w:r>
                      </w:p>
                    </w:tc>
                    <w:tc>
                      <w:tcPr>
                        <w:tcW w:w="1348" w:type="dxa"/>
                        <w:tcBorders>
                          <w:top w:val="nil"/>
                          <w:left w:val="nil"/>
                          <w:bottom w:val="single" w:sz="4" w:space="0" w:color="auto"/>
                          <w:right w:val="single" w:sz="8" w:space="0" w:color="auto"/>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76,3</w:t>
                        </w:r>
                      </w:p>
                    </w:tc>
                  </w:tr>
                  <w:tr w:rsidR="00220D70" w:rsidRPr="00C93D2D" w:rsidTr="00F335D4">
                    <w:trPr>
                      <w:trHeight w:val="288"/>
                    </w:trPr>
                    <w:tc>
                      <w:tcPr>
                        <w:tcW w:w="1528" w:type="dxa"/>
                        <w:vMerge w:val="restart"/>
                        <w:tcBorders>
                          <w:top w:val="nil"/>
                          <w:left w:val="single" w:sz="8" w:space="0" w:color="auto"/>
                          <w:bottom w:val="single" w:sz="8" w:space="0" w:color="000000"/>
                          <w:right w:val="nil"/>
                        </w:tcBorders>
                        <w:shd w:val="clear" w:color="auto" w:fill="auto"/>
                        <w:noWrap/>
                        <w:vAlign w:val="center"/>
                        <w:hideMark/>
                      </w:tcPr>
                      <w:p w:rsidR="00220D70" w:rsidRPr="00C93D2D" w:rsidRDefault="00220D70" w:rsidP="00F335D4">
                        <w:pPr>
                          <w:jc w:val="center"/>
                          <w:rPr>
                            <w:rFonts w:ascii="Calibri" w:hAnsi="Calibri"/>
                            <w:color w:val="000000"/>
                          </w:rPr>
                        </w:pPr>
                        <w:proofErr w:type="gramStart"/>
                        <w:r w:rsidRPr="00C93D2D">
                          <w:rPr>
                            <w:rFonts w:ascii="Calibri" w:hAnsi="Calibri"/>
                            <w:color w:val="000000"/>
                          </w:rPr>
                          <w:t>90%-fraktil</w:t>
                        </w:r>
                        <w:proofErr w:type="gramEnd"/>
                      </w:p>
                    </w:tc>
                    <w:tc>
                      <w:tcPr>
                        <w:tcW w:w="2259" w:type="dxa"/>
                        <w:tcBorders>
                          <w:top w:val="nil"/>
                          <w:left w:val="nil"/>
                          <w:bottom w:val="nil"/>
                          <w:right w:val="nil"/>
                        </w:tcBorders>
                        <w:shd w:val="clear" w:color="auto" w:fill="auto"/>
                        <w:noWrap/>
                        <w:vAlign w:val="center"/>
                        <w:hideMark/>
                      </w:tcPr>
                      <w:p w:rsidR="00220D70" w:rsidRPr="00C93D2D" w:rsidRDefault="00220D70" w:rsidP="00F335D4">
                        <w:pPr>
                          <w:rPr>
                            <w:rFonts w:ascii="Calibri" w:hAnsi="Calibri"/>
                            <w:color w:val="000000"/>
                          </w:rPr>
                        </w:pPr>
                        <w:r w:rsidRPr="00C93D2D">
                          <w:rPr>
                            <w:rFonts w:ascii="Calibri" w:hAnsi="Calibri"/>
                            <w:color w:val="000000"/>
                          </w:rPr>
                          <w:t>Antal minutter pr. borger</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18.226</w:t>
                        </w:r>
                      </w:p>
                    </w:tc>
                    <w:tc>
                      <w:tcPr>
                        <w:tcW w:w="1348" w:type="dxa"/>
                        <w:tcBorders>
                          <w:top w:val="nil"/>
                          <w:left w:val="nil"/>
                          <w:bottom w:val="nil"/>
                          <w:right w:val="nil"/>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17.713</w:t>
                        </w:r>
                      </w:p>
                    </w:tc>
                    <w:tc>
                      <w:tcPr>
                        <w:tcW w:w="1348" w:type="dxa"/>
                        <w:tcBorders>
                          <w:top w:val="nil"/>
                          <w:left w:val="nil"/>
                          <w:bottom w:val="nil"/>
                          <w:right w:val="single" w:sz="8" w:space="0" w:color="auto"/>
                        </w:tcBorders>
                        <w:shd w:val="clear" w:color="auto" w:fill="auto"/>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17.144</w:t>
                        </w:r>
                      </w:p>
                    </w:tc>
                  </w:tr>
                  <w:tr w:rsidR="00220D70" w:rsidRPr="00C93D2D" w:rsidTr="00F335D4">
                    <w:trPr>
                      <w:trHeight w:val="300"/>
                    </w:trPr>
                    <w:tc>
                      <w:tcPr>
                        <w:tcW w:w="1528" w:type="dxa"/>
                        <w:vMerge/>
                        <w:tcBorders>
                          <w:top w:val="nil"/>
                          <w:left w:val="single" w:sz="8" w:space="0" w:color="auto"/>
                          <w:bottom w:val="single" w:sz="8" w:space="0" w:color="000000"/>
                          <w:right w:val="nil"/>
                        </w:tcBorders>
                        <w:vAlign w:val="center"/>
                        <w:hideMark/>
                      </w:tcPr>
                      <w:p w:rsidR="00220D70" w:rsidRPr="00C93D2D" w:rsidRDefault="00220D70" w:rsidP="00F335D4">
                        <w:pPr>
                          <w:rPr>
                            <w:rFonts w:ascii="Calibri" w:hAnsi="Calibri"/>
                            <w:color w:val="000000"/>
                          </w:rPr>
                        </w:pPr>
                      </w:p>
                    </w:tc>
                    <w:tc>
                      <w:tcPr>
                        <w:tcW w:w="2259" w:type="dxa"/>
                        <w:tcBorders>
                          <w:top w:val="nil"/>
                          <w:left w:val="nil"/>
                          <w:bottom w:val="single" w:sz="8" w:space="0" w:color="auto"/>
                          <w:right w:val="nil"/>
                        </w:tcBorders>
                        <w:shd w:val="clear" w:color="000000" w:fill="D8D8D8"/>
                        <w:noWrap/>
                        <w:vAlign w:val="center"/>
                        <w:hideMark/>
                      </w:tcPr>
                      <w:p w:rsidR="00220D70" w:rsidRPr="00C93D2D" w:rsidRDefault="00220D70" w:rsidP="00F335D4">
                        <w:pPr>
                          <w:rPr>
                            <w:rFonts w:ascii="Calibri" w:hAnsi="Calibri"/>
                            <w:color w:val="000000"/>
                          </w:rPr>
                        </w:pPr>
                        <w:proofErr w:type="spellStart"/>
                        <w:r w:rsidRPr="00C93D2D">
                          <w:rPr>
                            <w:rFonts w:ascii="Calibri" w:hAnsi="Calibri"/>
                            <w:color w:val="000000"/>
                          </w:rPr>
                          <w:t>Gns</w:t>
                        </w:r>
                        <w:proofErr w:type="spellEnd"/>
                        <w:r w:rsidRPr="00C93D2D">
                          <w:rPr>
                            <w:rFonts w:ascii="Calibri" w:hAnsi="Calibri"/>
                            <w:color w:val="000000"/>
                          </w:rPr>
                          <w:t>. alder</w:t>
                        </w:r>
                      </w:p>
                    </w:tc>
                    <w:tc>
                      <w:tcPr>
                        <w:tcW w:w="1348" w:type="dxa"/>
                        <w:tcBorders>
                          <w:top w:val="nil"/>
                          <w:left w:val="nil"/>
                          <w:bottom w:val="single" w:sz="8"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76,0</w:t>
                        </w:r>
                      </w:p>
                    </w:tc>
                    <w:tc>
                      <w:tcPr>
                        <w:tcW w:w="1348" w:type="dxa"/>
                        <w:tcBorders>
                          <w:top w:val="nil"/>
                          <w:left w:val="nil"/>
                          <w:bottom w:val="single" w:sz="8" w:space="0" w:color="auto"/>
                          <w:right w:val="nil"/>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76,3</w:t>
                        </w:r>
                      </w:p>
                    </w:tc>
                    <w:tc>
                      <w:tcPr>
                        <w:tcW w:w="1348" w:type="dxa"/>
                        <w:tcBorders>
                          <w:top w:val="nil"/>
                          <w:left w:val="nil"/>
                          <w:bottom w:val="single" w:sz="8" w:space="0" w:color="auto"/>
                          <w:right w:val="single" w:sz="8" w:space="0" w:color="auto"/>
                        </w:tcBorders>
                        <w:shd w:val="clear" w:color="000000" w:fill="D8D8D8"/>
                        <w:noWrap/>
                        <w:vAlign w:val="bottom"/>
                        <w:hideMark/>
                      </w:tcPr>
                      <w:p w:rsidR="00220D70" w:rsidRPr="00C93D2D" w:rsidRDefault="00220D70" w:rsidP="00F335D4">
                        <w:pPr>
                          <w:jc w:val="right"/>
                          <w:rPr>
                            <w:rFonts w:ascii="Calibri" w:hAnsi="Calibri"/>
                            <w:color w:val="000000"/>
                          </w:rPr>
                        </w:pPr>
                        <w:r w:rsidRPr="00C93D2D">
                          <w:rPr>
                            <w:rFonts w:ascii="Calibri" w:hAnsi="Calibri"/>
                            <w:color w:val="000000"/>
                          </w:rPr>
                          <w:t>76,3</w:t>
                        </w:r>
                      </w:p>
                    </w:tc>
                  </w:tr>
                </w:tbl>
                <w:p w:rsidR="00220D70" w:rsidRDefault="00220D70" w:rsidP="00F335D4"/>
              </w:txbxContent>
            </v:textbox>
            <w10:anchorlock/>
          </v:shape>
        </w:pict>
      </w:r>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r>
        <w:t>Konklusionen er, at der ikke er sket en udvikling i tyngden. Nok er der kommet fl</w:t>
      </w:r>
      <w:r>
        <w:t>e</w:t>
      </w:r>
      <w:r>
        <w:t>re borgere til fra 2011 til 2013, men de er ikke blevet tungere målt på den leverede tid.</w:t>
      </w:r>
    </w:p>
    <w:p w:rsidR="00B97892" w:rsidRDefault="00B97892" w:rsidP="00F335D4">
      <w:pPr>
        <w:rPr>
          <w:b/>
        </w:rPr>
      </w:pPr>
    </w:p>
    <w:p w:rsidR="00F335D4" w:rsidRPr="001F638E" w:rsidRDefault="00F335D4" w:rsidP="00F335D4">
      <w:pPr>
        <w:pStyle w:val="Overskrift3"/>
      </w:pPr>
      <w:bookmarkStart w:id="24" w:name="_Toc400457714"/>
      <w:r w:rsidRPr="001F638E">
        <w:t>Sygeplejen</w:t>
      </w:r>
      <w:bookmarkEnd w:id="24"/>
    </w:p>
    <w:p w:rsidR="00F335D4" w:rsidRDefault="00F335D4" w:rsidP="00F335D4">
      <w:r>
        <w:t xml:space="preserve">I det omfang borgernes behov bliver mere behandlings- og plejekrævende vil det kunne tolkes som et skifte i borgernes tyngde. Et sådant skifte vil nemmere kunne ske indenfor sygeplejen, idet sygeplejersken udøver sin profession på autorisation. Sygeplejen er derfor undersøgt dobbelt i form af a) fraktiler og b) lineær regression for 2011 og 2013. </w:t>
      </w:r>
    </w:p>
    <w:p w:rsidR="00F335D4" w:rsidRDefault="00F335D4" w:rsidP="00F335D4"/>
    <w:p w:rsidR="00F335D4" w:rsidRDefault="00F335D4" w:rsidP="00F335D4">
      <w:r>
        <w:lastRenderedPageBreak/>
        <w:t>Antallet af borgere, der modtager Sygepleje er steget markant fra 3.485 ydelser i 2012 til 5.363 ydelser i 2013. Hovedparten af ydelserne er dog leveret af social- og sundhedsassistenter på delegation fra sygeplejersken. I 2011 var antal ydelser 3.441.</w:t>
      </w:r>
    </w:p>
    <w:p w:rsidR="00F335D4" w:rsidRDefault="00F335D4" w:rsidP="00F335D4"/>
    <w:p w:rsidR="00F335D4" w:rsidRDefault="000B05D0" w:rsidP="00F335D4">
      <w:pPr>
        <w:pStyle w:val="Billedtekst"/>
        <w:rPr>
          <w:b w:val="0"/>
        </w:rPr>
      </w:pPr>
      <w:r>
        <w:rPr>
          <w:b w:val="0"/>
          <w:noProof/>
          <w:lang w:eastAsia="en-US"/>
        </w:rPr>
        <w:pict>
          <v:shape id="_x0000_s1099" type="#_x0000_t202" style="position:absolute;margin-left:4.75pt;margin-top:17.75pt;width:353.05pt;height:142.7pt;z-index:251735040;mso-position-horizontal-relative:text;mso-position-vertical-relative:text;mso-width-relative:margin;mso-height-relative:margin">
            <v:textbox style="mso-next-textbox:#_x0000_s1099">
              <w:txbxContent>
                <w:p w:rsidR="00220D70" w:rsidRDefault="00220D70" w:rsidP="00F335D4">
                  <w:r w:rsidRPr="00CA4192">
                    <w:rPr>
                      <w:noProof/>
                    </w:rPr>
                    <w:drawing>
                      <wp:inline distT="0" distB="0" distL="0" distR="0">
                        <wp:extent cx="4291330" cy="1645263"/>
                        <wp:effectExtent l="19050" t="0" r="0" b="0"/>
                        <wp:docPr id="19" name="Billede 8"/>
                        <wp:cNvGraphicFramePr/>
                        <a:graphic xmlns:a="http://schemas.openxmlformats.org/drawingml/2006/main">
                          <a:graphicData uri="http://schemas.openxmlformats.org/drawingml/2006/picture">
                            <pic:pic xmlns:pic="http://schemas.openxmlformats.org/drawingml/2006/picture">
                              <pic:nvPicPr>
                                <pic:cNvPr id="6" name="Billede 5"/>
                                <pic:cNvPicPr>
                                  <a:picLocks noChangeAspect="1"/>
                                </pic:cNvPicPr>
                              </pic:nvPicPr>
                              <pic:blipFill>
                                <a:blip r:embed="rId13"/>
                                <a:stretch>
                                  <a:fillRect/>
                                </a:stretch>
                              </pic:blipFill>
                              <pic:spPr>
                                <a:xfrm>
                                  <a:off x="0" y="0"/>
                                  <a:ext cx="4291330" cy="1645263"/>
                                </a:xfrm>
                                <a:prstGeom prst="rect">
                                  <a:avLst/>
                                </a:prstGeom>
                              </pic:spPr>
                            </pic:pic>
                          </a:graphicData>
                        </a:graphic>
                      </wp:inline>
                    </w:drawing>
                  </w:r>
                </w:p>
              </w:txbxContent>
            </v:textbox>
          </v:shape>
        </w:pict>
      </w:r>
      <w:bookmarkStart w:id="25" w:name="_Toc414519462"/>
      <w:r w:rsidR="00F335D4">
        <w:t xml:space="preserve">Figur </w:t>
      </w:r>
      <w:fldSimple w:instr=" SEQ Figur \* ARABIC ">
        <w:r w:rsidR="00B6715E">
          <w:rPr>
            <w:noProof/>
          </w:rPr>
          <w:t>3</w:t>
        </w:r>
      </w:fldSimple>
      <w:r w:rsidR="00F335D4">
        <w:t>:</w:t>
      </w:r>
      <w:r w:rsidR="00F335D4" w:rsidRPr="00E706F0">
        <w:t>Antal borgere med Sygepleje Hjælp efter aldersgruppe (2011 – 2013)</w:t>
      </w:r>
      <w:bookmarkEnd w:id="25"/>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 w:rsidR="00F335D4" w:rsidRDefault="00F335D4" w:rsidP="00F335D4"/>
    <w:p w:rsidR="00F335D4" w:rsidRDefault="00F335D4" w:rsidP="00F335D4"/>
    <w:p w:rsidR="00F335D4" w:rsidRDefault="00F335D4" w:rsidP="00F335D4"/>
    <w:p w:rsidR="00F335D4" w:rsidRPr="001F638E" w:rsidRDefault="00F335D4" w:rsidP="00F335D4">
      <w:pPr>
        <w:pStyle w:val="Overskrift3"/>
      </w:pPr>
      <w:r w:rsidRPr="001F638E">
        <w:t>Fraktiler</w:t>
      </w:r>
    </w:p>
    <w:p w:rsidR="00F335D4" w:rsidRDefault="00F335D4" w:rsidP="00F335D4">
      <w:r>
        <w:t xml:space="preserve">Fraktilerne i hyppighedsfordelingen indikerer, at der ikke er sket en øget tyngde blandt borgerne. Generelt er der tale om tre hyppighedsfordelinger, som har helt de samme egenskaber. </w:t>
      </w:r>
    </w:p>
    <w:p w:rsidR="00F335D4" w:rsidRDefault="00F335D4" w:rsidP="00F335D4"/>
    <w:p w:rsidR="00F335D4" w:rsidRDefault="000B05D0" w:rsidP="00F335D4">
      <w:pPr>
        <w:pStyle w:val="Billedtekst"/>
        <w:rPr>
          <w:b w:val="0"/>
        </w:rPr>
      </w:pPr>
      <w:r>
        <w:rPr>
          <w:b w:val="0"/>
          <w:noProof/>
        </w:rPr>
        <w:pict>
          <v:shape id="_x0000_s1100" type="#_x0000_t202" style="position:absolute;margin-left:6pt;margin-top:17.85pt;width:410.15pt;height:148.45pt;z-index:251736064;mso-position-horizontal-relative:text;mso-position-vertical-relative:text;mso-width-relative:margin;mso-height-relative:margin">
            <v:textbox style="mso-next-textbox:#_x0000_s1100">
              <w:txbxContent>
                <w:tbl>
                  <w:tblPr>
                    <w:tblW w:w="7720" w:type="dxa"/>
                    <w:tblInd w:w="57" w:type="dxa"/>
                    <w:tblCellMar>
                      <w:left w:w="70" w:type="dxa"/>
                      <w:right w:w="70" w:type="dxa"/>
                    </w:tblCellMar>
                    <w:tblLook w:val="04A0"/>
                  </w:tblPr>
                  <w:tblGrid>
                    <w:gridCol w:w="1240"/>
                    <w:gridCol w:w="2880"/>
                    <w:gridCol w:w="1200"/>
                    <w:gridCol w:w="1200"/>
                    <w:gridCol w:w="1200"/>
                  </w:tblGrid>
                  <w:tr w:rsidR="00220D70" w:rsidRPr="0007065E" w:rsidTr="00F335D4">
                    <w:trPr>
                      <w:trHeight w:val="300"/>
                    </w:trPr>
                    <w:tc>
                      <w:tcPr>
                        <w:tcW w:w="1240" w:type="dxa"/>
                        <w:tcBorders>
                          <w:top w:val="single" w:sz="8" w:space="0" w:color="auto"/>
                          <w:left w:val="single" w:sz="8" w:space="0" w:color="auto"/>
                          <w:bottom w:val="single" w:sz="8" w:space="0" w:color="auto"/>
                          <w:right w:val="nil"/>
                        </w:tcBorders>
                        <w:shd w:val="clear" w:color="000000" w:fill="B8CCE4"/>
                        <w:noWrap/>
                        <w:vAlign w:val="bottom"/>
                        <w:hideMark/>
                      </w:tcPr>
                      <w:p w:rsidR="00220D70" w:rsidRPr="0007065E" w:rsidRDefault="00220D70" w:rsidP="00F335D4">
                        <w:pPr>
                          <w:jc w:val="center"/>
                          <w:rPr>
                            <w:rFonts w:ascii="Calibri" w:hAnsi="Calibri"/>
                            <w:color w:val="000000"/>
                            <w:sz w:val="22"/>
                            <w:szCs w:val="22"/>
                          </w:rPr>
                        </w:pPr>
                        <w:r w:rsidRPr="0007065E">
                          <w:rPr>
                            <w:rFonts w:ascii="Calibri" w:hAnsi="Calibri"/>
                            <w:color w:val="000000"/>
                            <w:sz w:val="22"/>
                            <w:szCs w:val="22"/>
                          </w:rPr>
                          <w:t> </w:t>
                        </w:r>
                      </w:p>
                    </w:tc>
                    <w:tc>
                      <w:tcPr>
                        <w:tcW w:w="2880" w:type="dxa"/>
                        <w:tcBorders>
                          <w:top w:val="single" w:sz="8" w:space="0" w:color="auto"/>
                          <w:left w:val="nil"/>
                          <w:bottom w:val="single" w:sz="8" w:space="0" w:color="auto"/>
                          <w:right w:val="nil"/>
                        </w:tcBorders>
                        <w:shd w:val="clear" w:color="000000" w:fill="B8CCE4"/>
                        <w:noWrap/>
                        <w:vAlign w:val="bottom"/>
                        <w:hideMark/>
                      </w:tcPr>
                      <w:p w:rsidR="00220D70" w:rsidRPr="0007065E" w:rsidRDefault="00220D70" w:rsidP="00F335D4">
                        <w:pPr>
                          <w:jc w:val="center"/>
                          <w:rPr>
                            <w:rFonts w:ascii="Calibri" w:hAnsi="Calibri"/>
                            <w:color w:val="000000"/>
                            <w:sz w:val="22"/>
                            <w:szCs w:val="22"/>
                          </w:rPr>
                        </w:pPr>
                        <w:r w:rsidRPr="0007065E">
                          <w:rPr>
                            <w:rFonts w:ascii="Calibri" w:hAnsi="Calibri"/>
                            <w:color w:val="000000"/>
                            <w:sz w:val="22"/>
                            <w:szCs w:val="22"/>
                          </w:rPr>
                          <w:t> </w:t>
                        </w:r>
                      </w:p>
                    </w:tc>
                    <w:tc>
                      <w:tcPr>
                        <w:tcW w:w="1200" w:type="dxa"/>
                        <w:tcBorders>
                          <w:top w:val="single" w:sz="8" w:space="0" w:color="auto"/>
                          <w:left w:val="nil"/>
                          <w:bottom w:val="single" w:sz="8" w:space="0" w:color="auto"/>
                          <w:right w:val="nil"/>
                        </w:tcBorders>
                        <w:shd w:val="clear" w:color="000000" w:fill="B8CCE4"/>
                        <w:noWrap/>
                        <w:vAlign w:val="bottom"/>
                        <w:hideMark/>
                      </w:tcPr>
                      <w:p w:rsidR="00220D70" w:rsidRPr="0007065E" w:rsidRDefault="00220D70" w:rsidP="00F335D4">
                        <w:pPr>
                          <w:jc w:val="center"/>
                          <w:rPr>
                            <w:rFonts w:ascii="Calibri" w:hAnsi="Calibri"/>
                            <w:color w:val="000000"/>
                            <w:sz w:val="22"/>
                            <w:szCs w:val="22"/>
                          </w:rPr>
                        </w:pPr>
                        <w:r w:rsidRPr="0007065E">
                          <w:rPr>
                            <w:rFonts w:ascii="Calibri" w:hAnsi="Calibri"/>
                            <w:color w:val="000000"/>
                            <w:sz w:val="22"/>
                            <w:szCs w:val="22"/>
                          </w:rPr>
                          <w:t>2011</w:t>
                        </w:r>
                      </w:p>
                    </w:tc>
                    <w:tc>
                      <w:tcPr>
                        <w:tcW w:w="1200" w:type="dxa"/>
                        <w:tcBorders>
                          <w:top w:val="single" w:sz="8" w:space="0" w:color="auto"/>
                          <w:left w:val="nil"/>
                          <w:bottom w:val="single" w:sz="8" w:space="0" w:color="auto"/>
                          <w:right w:val="nil"/>
                        </w:tcBorders>
                        <w:shd w:val="clear" w:color="000000" w:fill="B8CCE4"/>
                        <w:noWrap/>
                        <w:vAlign w:val="bottom"/>
                        <w:hideMark/>
                      </w:tcPr>
                      <w:p w:rsidR="00220D70" w:rsidRPr="0007065E" w:rsidRDefault="00220D70" w:rsidP="00F335D4">
                        <w:pPr>
                          <w:jc w:val="center"/>
                          <w:rPr>
                            <w:rFonts w:ascii="Calibri" w:hAnsi="Calibri"/>
                            <w:color w:val="000000"/>
                            <w:sz w:val="22"/>
                            <w:szCs w:val="22"/>
                          </w:rPr>
                        </w:pPr>
                        <w:r w:rsidRPr="0007065E">
                          <w:rPr>
                            <w:rFonts w:ascii="Calibri" w:hAnsi="Calibri"/>
                            <w:color w:val="000000"/>
                            <w:sz w:val="22"/>
                            <w:szCs w:val="22"/>
                          </w:rPr>
                          <w:t>2012</w:t>
                        </w:r>
                      </w:p>
                    </w:tc>
                    <w:tc>
                      <w:tcPr>
                        <w:tcW w:w="1200" w:type="dxa"/>
                        <w:tcBorders>
                          <w:top w:val="single" w:sz="8" w:space="0" w:color="auto"/>
                          <w:left w:val="nil"/>
                          <w:bottom w:val="single" w:sz="8" w:space="0" w:color="auto"/>
                          <w:right w:val="single" w:sz="8" w:space="0" w:color="auto"/>
                        </w:tcBorders>
                        <w:shd w:val="clear" w:color="000000" w:fill="B8CCE4"/>
                        <w:noWrap/>
                        <w:vAlign w:val="bottom"/>
                        <w:hideMark/>
                      </w:tcPr>
                      <w:p w:rsidR="00220D70" w:rsidRPr="0007065E" w:rsidRDefault="00220D70" w:rsidP="00F335D4">
                        <w:pPr>
                          <w:jc w:val="center"/>
                          <w:rPr>
                            <w:rFonts w:ascii="Calibri" w:hAnsi="Calibri"/>
                            <w:color w:val="000000"/>
                            <w:sz w:val="22"/>
                            <w:szCs w:val="22"/>
                          </w:rPr>
                        </w:pPr>
                        <w:r w:rsidRPr="0007065E">
                          <w:rPr>
                            <w:rFonts w:ascii="Calibri" w:hAnsi="Calibri"/>
                            <w:color w:val="000000"/>
                            <w:sz w:val="22"/>
                            <w:szCs w:val="22"/>
                          </w:rPr>
                          <w:t>2013</w:t>
                        </w:r>
                      </w:p>
                    </w:tc>
                  </w:tr>
                  <w:tr w:rsidR="00220D70" w:rsidRPr="0007065E" w:rsidTr="00F335D4">
                    <w:trPr>
                      <w:trHeight w:val="288"/>
                    </w:trPr>
                    <w:tc>
                      <w:tcPr>
                        <w:tcW w:w="1240" w:type="dxa"/>
                        <w:vMerge w:val="restart"/>
                        <w:tcBorders>
                          <w:top w:val="nil"/>
                          <w:left w:val="single" w:sz="8" w:space="0" w:color="auto"/>
                          <w:bottom w:val="single" w:sz="4" w:space="0" w:color="000000"/>
                          <w:right w:val="nil"/>
                        </w:tcBorders>
                        <w:shd w:val="clear" w:color="auto" w:fill="auto"/>
                        <w:noWrap/>
                        <w:vAlign w:val="center"/>
                        <w:hideMark/>
                      </w:tcPr>
                      <w:p w:rsidR="00220D70" w:rsidRPr="0007065E" w:rsidRDefault="00220D70" w:rsidP="00F335D4">
                        <w:pPr>
                          <w:jc w:val="center"/>
                          <w:rPr>
                            <w:rFonts w:ascii="Calibri" w:hAnsi="Calibri"/>
                            <w:color w:val="000000"/>
                            <w:sz w:val="22"/>
                            <w:szCs w:val="22"/>
                          </w:rPr>
                        </w:pPr>
                        <w:proofErr w:type="gramStart"/>
                        <w:r w:rsidRPr="0007065E">
                          <w:rPr>
                            <w:rFonts w:ascii="Calibri" w:hAnsi="Calibri"/>
                            <w:color w:val="000000"/>
                            <w:sz w:val="22"/>
                            <w:szCs w:val="22"/>
                          </w:rPr>
                          <w:t>25%-fraktil</w:t>
                        </w:r>
                        <w:proofErr w:type="gramEnd"/>
                      </w:p>
                    </w:tc>
                    <w:tc>
                      <w:tcPr>
                        <w:tcW w:w="2880" w:type="dxa"/>
                        <w:tcBorders>
                          <w:top w:val="nil"/>
                          <w:left w:val="nil"/>
                          <w:bottom w:val="nil"/>
                          <w:right w:val="nil"/>
                        </w:tcBorders>
                        <w:shd w:val="clear" w:color="auto" w:fill="auto"/>
                        <w:noWrap/>
                        <w:vAlign w:val="center"/>
                        <w:hideMark/>
                      </w:tcPr>
                      <w:p w:rsidR="00220D70" w:rsidRPr="0007065E" w:rsidRDefault="00220D70" w:rsidP="00F335D4">
                        <w:pPr>
                          <w:rPr>
                            <w:rFonts w:ascii="Calibri" w:hAnsi="Calibri"/>
                            <w:color w:val="000000"/>
                            <w:sz w:val="22"/>
                            <w:szCs w:val="22"/>
                          </w:rPr>
                        </w:pPr>
                        <w:r w:rsidRPr="0007065E">
                          <w:rPr>
                            <w:rFonts w:ascii="Calibri" w:hAnsi="Calibri"/>
                            <w:color w:val="000000"/>
                            <w:sz w:val="22"/>
                            <w:szCs w:val="22"/>
                          </w:rPr>
                          <w:t>Antal minutter pr. borger</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60</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60</w:t>
                        </w:r>
                      </w:p>
                    </w:tc>
                    <w:tc>
                      <w:tcPr>
                        <w:tcW w:w="1200" w:type="dxa"/>
                        <w:tcBorders>
                          <w:top w:val="nil"/>
                          <w:left w:val="nil"/>
                          <w:bottom w:val="nil"/>
                          <w:right w:val="single" w:sz="8" w:space="0" w:color="auto"/>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60</w:t>
                        </w:r>
                      </w:p>
                    </w:tc>
                  </w:tr>
                  <w:tr w:rsidR="00220D70" w:rsidRPr="0007065E" w:rsidTr="00F335D4">
                    <w:trPr>
                      <w:trHeight w:val="288"/>
                    </w:trPr>
                    <w:tc>
                      <w:tcPr>
                        <w:tcW w:w="1240" w:type="dxa"/>
                        <w:vMerge/>
                        <w:tcBorders>
                          <w:top w:val="nil"/>
                          <w:left w:val="single" w:sz="8" w:space="0" w:color="auto"/>
                          <w:bottom w:val="single" w:sz="4" w:space="0" w:color="000000"/>
                          <w:right w:val="nil"/>
                        </w:tcBorders>
                        <w:vAlign w:val="center"/>
                        <w:hideMark/>
                      </w:tcPr>
                      <w:p w:rsidR="00220D70" w:rsidRPr="0007065E" w:rsidRDefault="00220D70" w:rsidP="00F335D4">
                        <w:pPr>
                          <w:rPr>
                            <w:rFonts w:ascii="Calibri" w:hAnsi="Calibri"/>
                            <w:color w:val="000000"/>
                            <w:sz w:val="22"/>
                            <w:szCs w:val="22"/>
                          </w:rPr>
                        </w:pPr>
                      </w:p>
                    </w:tc>
                    <w:tc>
                      <w:tcPr>
                        <w:tcW w:w="2880" w:type="dxa"/>
                        <w:tcBorders>
                          <w:top w:val="nil"/>
                          <w:left w:val="nil"/>
                          <w:bottom w:val="single" w:sz="4" w:space="0" w:color="auto"/>
                          <w:right w:val="nil"/>
                        </w:tcBorders>
                        <w:shd w:val="clear" w:color="000000" w:fill="D8D8D8"/>
                        <w:noWrap/>
                        <w:vAlign w:val="center"/>
                        <w:hideMark/>
                      </w:tcPr>
                      <w:p w:rsidR="00220D70" w:rsidRPr="0007065E" w:rsidRDefault="00220D70" w:rsidP="00F335D4">
                        <w:pPr>
                          <w:rPr>
                            <w:rFonts w:ascii="Calibri" w:hAnsi="Calibri"/>
                            <w:color w:val="000000"/>
                            <w:sz w:val="22"/>
                            <w:szCs w:val="22"/>
                          </w:rPr>
                        </w:pPr>
                        <w:proofErr w:type="spellStart"/>
                        <w:r w:rsidRPr="0007065E">
                          <w:rPr>
                            <w:rFonts w:ascii="Calibri" w:hAnsi="Calibri"/>
                            <w:color w:val="000000"/>
                            <w:sz w:val="22"/>
                            <w:szCs w:val="22"/>
                          </w:rPr>
                          <w:t>Gns</w:t>
                        </w:r>
                        <w:proofErr w:type="spellEnd"/>
                        <w:r w:rsidRPr="0007065E">
                          <w:rPr>
                            <w:rFonts w:ascii="Calibri" w:hAnsi="Calibri"/>
                            <w:color w:val="000000"/>
                            <w:sz w:val="22"/>
                            <w:szCs w:val="22"/>
                          </w:rPr>
                          <w:t>. alder</w:t>
                        </w:r>
                      </w:p>
                    </w:tc>
                    <w:tc>
                      <w:tcPr>
                        <w:tcW w:w="1200" w:type="dxa"/>
                        <w:tcBorders>
                          <w:top w:val="nil"/>
                          <w:left w:val="nil"/>
                          <w:bottom w:val="single" w:sz="4"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72,3</w:t>
                        </w:r>
                      </w:p>
                    </w:tc>
                    <w:tc>
                      <w:tcPr>
                        <w:tcW w:w="1200" w:type="dxa"/>
                        <w:tcBorders>
                          <w:top w:val="nil"/>
                          <w:left w:val="nil"/>
                          <w:bottom w:val="single" w:sz="4"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72,6</w:t>
                        </w:r>
                      </w:p>
                    </w:tc>
                    <w:tc>
                      <w:tcPr>
                        <w:tcW w:w="1200" w:type="dxa"/>
                        <w:tcBorders>
                          <w:top w:val="nil"/>
                          <w:left w:val="nil"/>
                          <w:bottom w:val="single" w:sz="4" w:space="0" w:color="auto"/>
                          <w:right w:val="single" w:sz="8" w:space="0" w:color="auto"/>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72,9</w:t>
                        </w:r>
                      </w:p>
                    </w:tc>
                  </w:tr>
                  <w:tr w:rsidR="00220D70" w:rsidRPr="0007065E" w:rsidTr="00F335D4">
                    <w:trPr>
                      <w:trHeight w:val="288"/>
                    </w:trPr>
                    <w:tc>
                      <w:tcPr>
                        <w:tcW w:w="1240" w:type="dxa"/>
                        <w:vMerge w:val="restart"/>
                        <w:tcBorders>
                          <w:top w:val="nil"/>
                          <w:left w:val="single" w:sz="8" w:space="0" w:color="auto"/>
                          <w:bottom w:val="single" w:sz="4" w:space="0" w:color="000000"/>
                          <w:right w:val="nil"/>
                        </w:tcBorders>
                        <w:shd w:val="clear" w:color="auto" w:fill="auto"/>
                        <w:noWrap/>
                        <w:vAlign w:val="center"/>
                        <w:hideMark/>
                      </w:tcPr>
                      <w:p w:rsidR="00220D70" w:rsidRPr="0007065E" w:rsidRDefault="00220D70" w:rsidP="00F335D4">
                        <w:pPr>
                          <w:jc w:val="center"/>
                          <w:rPr>
                            <w:rFonts w:ascii="Calibri" w:hAnsi="Calibri"/>
                            <w:color w:val="000000"/>
                            <w:sz w:val="22"/>
                            <w:szCs w:val="22"/>
                          </w:rPr>
                        </w:pPr>
                        <w:proofErr w:type="gramStart"/>
                        <w:r w:rsidRPr="0007065E">
                          <w:rPr>
                            <w:rFonts w:ascii="Calibri" w:hAnsi="Calibri"/>
                            <w:color w:val="000000"/>
                            <w:sz w:val="22"/>
                            <w:szCs w:val="22"/>
                          </w:rPr>
                          <w:t>50%-fraktil</w:t>
                        </w:r>
                        <w:proofErr w:type="gramEnd"/>
                      </w:p>
                    </w:tc>
                    <w:tc>
                      <w:tcPr>
                        <w:tcW w:w="2880" w:type="dxa"/>
                        <w:tcBorders>
                          <w:top w:val="nil"/>
                          <w:left w:val="nil"/>
                          <w:bottom w:val="nil"/>
                          <w:right w:val="nil"/>
                        </w:tcBorders>
                        <w:shd w:val="clear" w:color="auto" w:fill="auto"/>
                        <w:noWrap/>
                        <w:vAlign w:val="center"/>
                        <w:hideMark/>
                      </w:tcPr>
                      <w:p w:rsidR="00220D70" w:rsidRPr="0007065E" w:rsidRDefault="00220D70" w:rsidP="00F335D4">
                        <w:pPr>
                          <w:rPr>
                            <w:rFonts w:ascii="Calibri" w:hAnsi="Calibri"/>
                            <w:color w:val="000000"/>
                            <w:sz w:val="22"/>
                            <w:szCs w:val="22"/>
                          </w:rPr>
                        </w:pPr>
                        <w:r w:rsidRPr="0007065E">
                          <w:rPr>
                            <w:rFonts w:ascii="Calibri" w:hAnsi="Calibri"/>
                            <w:color w:val="000000"/>
                            <w:sz w:val="22"/>
                            <w:szCs w:val="22"/>
                          </w:rPr>
                          <w:t>Antal minutter pr. borger</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290</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280</w:t>
                        </w:r>
                      </w:p>
                    </w:tc>
                    <w:tc>
                      <w:tcPr>
                        <w:tcW w:w="1200" w:type="dxa"/>
                        <w:tcBorders>
                          <w:top w:val="nil"/>
                          <w:left w:val="nil"/>
                          <w:bottom w:val="nil"/>
                          <w:right w:val="single" w:sz="8" w:space="0" w:color="auto"/>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275</w:t>
                        </w:r>
                      </w:p>
                    </w:tc>
                  </w:tr>
                  <w:tr w:rsidR="00220D70" w:rsidRPr="0007065E" w:rsidTr="00F335D4">
                    <w:trPr>
                      <w:trHeight w:val="288"/>
                    </w:trPr>
                    <w:tc>
                      <w:tcPr>
                        <w:tcW w:w="1240" w:type="dxa"/>
                        <w:vMerge/>
                        <w:tcBorders>
                          <w:top w:val="nil"/>
                          <w:left w:val="single" w:sz="8" w:space="0" w:color="auto"/>
                          <w:bottom w:val="single" w:sz="4" w:space="0" w:color="000000"/>
                          <w:right w:val="nil"/>
                        </w:tcBorders>
                        <w:vAlign w:val="center"/>
                        <w:hideMark/>
                      </w:tcPr>
                      <w:p w:rsidR="00220D70" w:rsidRPr="0007065E" w:rsidRDefault="00220D70" w:rsidP="00F335D4">
                        <w:pPr>
                          <w:rPr>
                            <w:rFonts w:ascii="Calibri" w:hAnsi="Calibri"/>
                            <w:color w:val="000000"/>
                            <w:sz w:val="22"/>
                            <w:szCs w:val="22"/>
                          </w:rPr>
                        </w:pPr>
                      </w:p>
                    </w:tc>
                    <w:tc>
                      <w:tcPr>
                        <w:tcW w:w="2880" w:type="dxa"/>
                        <w:tcBorders>
                          <w:top w:val="nil"/>
                          <w:left w:val="nil"/>
                          <w:bottom w:val="single" w:sz="4" w:space="0" w:color="auto"/>
                          <w:right w:val="nil"/>
                        </w:tcBorders>
                        <w:shd w:val="clear" w:color="000000" w:fill="D8D8D8"/>
                        <w:noWrap/>
                        <w:vAlign w:val="center"/>
                        <w:hideMark/>
                      </w:tcPr>
                      <w:p w:rsidR="00220D70" w:rsidRPr="0007065E" w:rsidRDefault="00220D70" w:rsidP="00F335D4">
                        <w:pPr>
                          <w:rPr>
                            <w:rFonts w:ascii="Calibri" w:hAnsi="Calibri"/>
                            <w:color w:val="000000"/>
                            <w:sz w:val="22"/>
                            <w:szCs w:val="22"/>
                          </w:rPr>
                        </w:pPr>
                        <w:proofErr w:type="spellStart"/>
                        <w:r w:rsidRPr="0007065E">
                          <w:rPr>
                            <w:rFonts w:ascii="Calibri" w:hAnsi="Calibri"/>
                            <w:color w:val="000000"/>
                            <w:sz w:val="22"/>
                            <w:szCs w:val="22"/>
                          </w:rPr>
                          <w:t>Gns</w:t>
                        </w:r>
                        <w:proofErr w:type="spellEnd"/>
                        <w:r w:rsidRPr="0007065E">
                          <w:rPr>
                            <w:rFonts w:ascii="Calibri" w:hAnsi="Calibri"/>
                            <w:color w:val="000000"/>
                            <w:sz w:val="22"/>
                            <w:szCs w:val="22"/>
                          </w:rPr>
                          <w:t>. alder</w:t>
                        </w:r>
                      </w:p>
                    </w:tc>
                    <w:tc>
                      <w:tcPr>
                        <w:tcW w:w="1200" w:type="dxa"/>
                        <w:tcBorders>
                          <w:top w:val="nil"/>
                          <w:left w:val="nil"/>
                          <w:bottom w:val="single" w:sz="4"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73,1</w:t>
                        </w:r>
                      </w:p>
                    </w:tc>
                    <w:tc>
                      <w:tcPr>
                        <w:tcW w:w="1200" w:type="dxa"/>
                        <w:tcBorders>
                          <w:top w:val="nil"/>
                          <w:left w:val="nil"/>
                          <w:bottom w:val="single" w:sz="4"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72,6</w:t>
                        </w:r>
                      </w:p>
                    </w:tc>
                    <w:tc>
                      <w:tcPr>
                        <w:tcW w:w="1200" w:type="dxa"/>
                        <w:tcBorders>
                          <w:top w:val="nil"/>
                          <w:left w:val="nil"/>
                          <w:bottom w:val="single" w:sz="4" w:space="0" w:color="auto"/>
                          <w:right w:val="single" w:sz="8" w:space="0" w:color="auto"/>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72,5</w:t>
                        </w:r>
                      </w:p>
                    </w:tc>
                  </w:tr>
                  <w:tr w:rsidR="00220D70" w:rsidRPr="0007065E" w:rsidTr="00F335D4">
                    <w:trPr>
                      <w:trHeight w:val="288"/>
                    </w:trPr>
                    <w:tc>
                      <w:tcPr>
                        <w:tcW w:w="1240" w:type="dxa"/>
                        <w:vMerge w:val="restart"/>
                        <w:tcBorders>
                          <w:top w:val="nil"/>
                          <w:left w:val="single" w:sz="8" w:space="0" w:color="auto"/>
                          <w:bottom w:val="single" w:sz="8" w:space="0" w:color="000000"/>
                          <w:right w:val="nil"/>
                        </w:tcBorders>
                        <w:shd w:val="clear" w:color="auto" w:fill="auto"/>
                        <w:noWrap/>
                        <w:vAlign w:val="center"/>
                        <w:hideMark/>
                      </w:tcPr>
                      <w:p w:rsidR="00220D70" w:rsidRPr="0007065E" w:rsidRDefault="00220D70" w:rsidP="00F335D4">
                        <w:pPr>
                          <w:jc w:val="center"/>
                          <w:rPr>
                            <w:rFonts w:ascii="Calibri" w:hAnsi="Calibri"/>
                            <w:color w:val="000000"/>
                            <w:sz w:val="22"/>
                            <w:szCs w:val="22"/>
                          </w:rPr>
                        </w:pPr>
                        <w:proofErr w:type="gramStart"/>
                        <w:r w:rsidRPr="0007065E">
                          <w:rPr>
                            <w:rFonts w:ascii="Calibri" w:hAnsi="Calibri"/>
                            <w:color w:val="000000"/>
                            <w:sz w:val="22"/>
                            <w:szCs w:val="22"/>
                          </w:rPr>
                          <w:t>75%-fraktil</w:t>
                        </w:r>
                        <w:proofErr w:type="gramEnd"/>
                      </w:p>
                    </w:tc>
                    <w:tc>
                      <w:tcPr>
                        <w:tcW w:w="2880" w:type="dxa"/>
                        <w:tcBorders>
                          <w:top w:val="nil"/>
                          <w:left w:val="nil"/>
                          <w:bottom w:val="nil"/>
                          <w:right w:val="nil"/>
                        </w:tcBorders>
                        <w:shd w:val="clear" w:color="auto" w:fill="auto"/>
                        <w:noWrap/>
                        <w:vAlign w:val="center"/>
                        <w:hideMark/>
                      </w:tcPr>
                      <w:p w:rsidR="00220D70" w:rsidRPr="0007065E" w:rsidRDefault="00220D70" w:rsidP="00F335D4">
                        <w:pPr>
                          <w:rPr>
                            <w:rFonts w:ascii="Calibri" w:hAnsi="Calibri"/>
                            <w:color w:val="000000"/>
                            <w:sz w:val="22"/>
                            <w:szCs w:val="22"/>
                          </w:rPr>
                        </w:pPr>
                        <w:r w:rsidRPr="0007065E">
                          <w:rPr>
                            <w:rFonts w:ascii="Calibri" w:hAnsi="Calibri"/>
                            <w:color w:val="000000"/>
                            <w:sz w:val="22"/>
                            <w:szCs w:val="22"/>
                          </w:rPr>
                          <w:t>Antal minutter pr. borger</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732</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705</w:t>
                        </w:r>
                      </w:p>
                    </w:tc>
                    <w:tc>
                      <w:tcPr>
                        <w:tcW w:w="1200" w:type="dxa"/>
                        <w:tcBorders>
                          <w:top w:val="nil"/>
                          <w:left w:val="nil"/>
                          <w:bottom w:val="nil"/>
                          <w:right w:val="single" w:sz="8" w:space="0" w:color="auto"/>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779</w:t>
                        </w:r>
                      </w:p>
                    </w:tc>
                  </w:tr>
                  <w:tr w:rsidR="00220D70" w:rsidRPr="0007065E" w:rsidTr="00F335D4">
                    <w:trPr>
                      <w:trHeight w:val="300"/>
                    </w:trPr>
                    <w:tc>
                      <w:tcPr>
                        <w:tcW w:w="1240" w:type="dxa"/>
                        <w:vMerge/>
                        <w:tcBorders>
                          <w:top w:val="nil"/>
                          <w:left w:val="single" w:sz="8" w:space="0" w:color="auto"/>
                          <w:bottom w:val="single" w:sz="8" w:space="0" w:color="000000"/>
                          <w:right w:val="nil"/>
                        </w:tcBorders>
                        <w:vAlign w:val="center"/>
                        <w:hideMark/>
                      </w:tcPr>
                      <w:p w:rsidR="00220D70" w:rsidRPr="0007065E" w:rsidRDefault="00220D70" w:rsidP="00F335D4">
                        <w:pPr>
                          <w:rPr>
                            <w:rFonts w:ascii="Calibri" w:hAnsi="Calibri"/>
                            <w:color w:val="000000"/>
                            <w:sz w:val="22"/>
                            <w:szCs w:val="22"/>
                          </w:rPr>
                        </w:pPr>
                      </w:p>
                    </w:tc>
                    <w:tc>
                      <w:tcPr>
                        <w:tcW w:w="2880" w:type="dxa"/>
                        <w:tcBorders>
                          <w:top w:val="nil"/>
                          <w:left w:val="nil"/>
                          <w:bottom w:val="single" w:sz="8" w:space="0" w:color="auto"/>
                          <w:right w:val="nil"/>
                        </w:tcBorders>
                        <w:shd w:val="clear" w:color="000000" w:fill="D8D8D8"/>
                        <w:noWrap/>
                        <w:vAlign w:val="center"/>
                        <w:hideMark/>
                      </w:tcPr>
                      <w:p w:rsidR="00220D70" w:rsidRPr="0007065E" w:rsidRDefault="00220D70" w:rsidP="00F335D4">
                        <w:pPr>
                          <w:rPr>
                            <w:rFonts w:ascii="Calibri" w:hAnsi="Calibri"/>
                            <w:color w:val="000000"/>
                            <w:sz w:val="22"/>
                            <w:szCs w:val="22"/>
                          </w:rPr>
                        </w:pPr>
                        <w:proofErr w:type="spellStart"/>
                        <w:r w:rsidRPr="0007065E">
                          <w:rPr>
                            <w:rFonts w:ascii="Calibri" w:hAnsi="Calibri"/>
                            <w:color w:val="000000"/>
                            <w:sz w:val="22"/>
                            <w:szCs w:val="22"/>
                          </w:rPr>
                          <w:t>Gns</w:t>
                        </w:r>
                        <w:proofErr w:type="spellEnd"/>
                        <w:r w:rsidRPr="0007065E">
                          <w:rPr>
                            <w:rFonts w:ascii="Calibri" w:hAnsi="Calibri"/>
                            <w:color w:val="000000"/>
                            <w:sz w:val="22"/>
                            <w:szCs w:val="22"/>
                          </w:rPr>
                          <w:t>. alder</w:t>
                        </w:r>
                      </w:p>
                    </w:tc>
                    <w:tc>
                      <w:tcPr>
                        <w:tcW w:w="1200" w:type="dxa"/>
                        <w:tcBorders>
                          <w:top w:val="nil"/>
                          <w:left w:val="nil"/>
                          <w:bottom w:val="single" w:sz="8"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73,3</w:t>
                        </w:r>
                      </w:p>
                    </w:tc>
                    <w:tc>
                      <w:tcPr>
                        <w:tcW w:w="1200" w:type="dxa"/>
                        <w:tcBorders>
                          <w:top w:val="nil"/>
                          <w:left w:val="nil"/>
                          <w:bottom w:val="single" w:sz="8"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73,0</w:t>
                        </w:r>
                      </w:p>
                    </w:tc>
                    <w:tc>
                      <w:tcPr>
                        <w:tcW w:w="1200" w:type="dxa"/>
                        <w:tcBorders>
                          <w:top w:val="nil"/>
                          <w:left w:val="nil"/>
                          <w:bottom w:val="single" w:sz="8" w:space="0" w:color="auto"/>
                          <w:right w:val="single" w:sz="8" w:space="0" w:color="auto"/>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73,0</w:t>
                        </w:r>
                      </w:p>
                    </w:tc>
                  </w:tr>
                  <w:tr w:rsidR="00220D70" w:rsidRPr="0007065E" w:rsidTr="00F335D4">
                    <w:trPr>
                      <w:trHeight w:val="288"/>
                    </w:trPr>
                    <w:tc>
                      <w:tcPr>
                        <w:tcW w:w="1240" w:type="dxa"/>
                        <w:vMerge w:val="restart"/>
                        <w:tcBorders>
                          <w:top w:val="nil"/>
                          <w:left w:val="single" w:sz="8" w:space="0" w:color="auto"/>
                          <w:bottom w:val="single" w:sz="8" w:space="0" w:color="000000"/>
                          <w:right w:val="nil"/>
                        </w:tcBorders>
                        <w:shd w:val="clear" w:color="auto" w:fill="auto"/>
                        <w:noWrap/>
                        <w:vAlign w:val="center"/>
                        <w:hideMark/>
                      </w:tcPr>
                      <w:p w:rsidR="00220D70" w:rsidRPr="0007065E" w:rsidRDefault="00220D70" w:rsidP="00F335D4">
                        <w:pPr>
                          <w:jc w:val="center"/>
                          <w:rPr>
                            <w:rFonts w:ascii="Calibri" w:hAnsi="Calibri"/>
                            <w:color w:val="000000"/>
                            <w:sz w:val="22"/>
                            <w:szCs w:val="22"/>
                          </w:rPr>
                        </w:pPr>
                        <w:proofErr w:type="gramStart"/>
                        <w:r w:rsidRPr="0007065E">
                          <w:rPr>
                            <w:rFonts w:ascii="Calibri" w:hAnsi="Calibri"/>
                            <w:color w:val="000000"/>
                            <w:sz w:val="22"/>
                            <w:szCs w:val="22"/>
                          </w:rPr>
                          <w:t>90%-fraktil</w:t>
                        </w:r>
                        <w:proofErr w:type="gramEnd"/>
                      </w:p>
                    </w:tc>
                    <w:tc>
                      <w:tcPr>
                        <w:tcW w:w="2880" w:type="dxa"/>
                        <w:tcBorders>
                          <w:top w:val="nil"/>
                          <w:left w:val="nil"/>
                          <w:bottom w:val="nil"/>
                          <w:right w:val="nil"/>
                        </w:tcBorders>
                        <w:shd w:val="clear" w:color="auto" w:fill="auto"/>
                        <w:noWrap/>
                        <w:vAlign w:val="center"/>
                        <w:hideMark/>
                      </w:tcPr>
                      <w:p w:rsidR="00220D70" w:rsidRPr="0007065E" w:rsidRDefault="00220D70" w:rsidP="00F335D4">
                        <w:pPr>
                          <w:rPr>
                            <w:rFonts w:ascii="Calibri" w:hAnsi="Calibri"/>
                            <w:color w:val="000000"/>
                            <w:sz w:val="22"/>
                            <w:szCs w:val="22"/>
                          </w:rPr>
                        </w:pPr>
                        <w:r w:rsidRPr="0007065E">
                          <w:rPr>
                            <w:rFonts w:ascii="Calibri" w:hAnsi="Calibri"/>
                            <w:color w:val="000000"/>
                            <w:sz w:val="22"/>
                            <w:szCs w:val="22"/>
                          </w:rPr>
                          <w:t>Antal minutter pr. borger</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3.715</w:t>
                        </w:r>
                      </w:p>
                    </w:tc>
                    <w:tc>
                      <w:tcPr>
                        <w:tcW w:w="1200" w:type="dxa"/>
                        <w:tcBorders>
                          <w:top w:val="nil"/>
                          <w:left w:val="nil"/>
                          <w:bottom w:val="nil"/>
                          <w:right w:val="nil"/>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1.991</w:t>
                        </w:r>
                      </w:p>
                    </w:tc>
                    <w:tc>
                      <w:tcPr>
                        <w:tcW w:w="1200" w:type="dxa"/>
                        <w:tcBorders>
                          <w:top w:val="nil"/>
                          <w:left w:val="nil"/>
                          <w:bottom w:val="nil"/>
                          <w:right w:val="single" w:sz="8" w:space="0" w:color="auto"/>
                        </w:tcBorders>
                        <w:shd w:val="clear" w:color="auto" w:fill="auto"/>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2.328</w:t>
                        </w:r>
                      </w:p>
                    </w:tc>
                  </w:tr>
                  <w:tr w:rsidR="00220D70" w:rsidRPr="0007065E" w:rsidTr="00F335D4">
                    <w:trPr>
                      <w:trHeight w:val="300"/>
                    </w:trPr>
                    <w:tc>
                      <w:tcPr>
                        <w:tcW w:w="1240" w:type="dxa"/>
                        <w:vMerge/>
                        <w:tcBorders>
                          <w:top w:val="nil"/>
                          <w:left w:val="single" w:sz="8" w:space="0" w:color="auto"/>
                          <w:bottom w:val="single" w:sz="8" w:space="0" w:color="000000"/>
                          <w:right w:val="nil"/>
                        </w:tcBorders>
                        <w:vAlign w:val="center"/>
                        <w:hideMark/>
                      </w:tcPr>
                      <w:p w:rsidR="00220D70" w:rsidRPr="0007065E" w:rsidRDefault="00220D70" w:rsidP="00F335D4">
                        <w:pPr>
                          <w:rPr>
                            <w:rFonts w:ascii="Calibri" w:hAnsi="Calibri"/>
                            <w:color w:val="000000"/>
                            <w:sz w:val="22"/>
                            <w:szCs w:val="22"/>
                          </w:rPr>
                        </w:pPr>
                      </w:p>
                    </w:tc>
                    <w:tc>
                      <w:tcPr>
                        <w:tcW w:w="2880" w:type="dxa"/>
                        <w:tcBorders>
                          <w:top w:val="nil"/>
                          <w:left w:val="nil"/>
                          <w:bottom w:val="single" w:sz="8" w:space="0" w:color="auto"/>
                          <w:right w:val="nil"/>
                        </w:tcBorders>
                        <w:shd w:val="clear" w:color="000000" w:fill="D8D8D8"/>
                        <w:noWrap/>
                        <w:vAlign w:val="center"/>
                        <w:hideMark/>
                      </w:tcPr>
                      <w:p w:rsidR="00220D70" w:rsidRPr="0007065E" w:rsidRDefault="00220D70" w:rsidP="00F335D4">
                        <w:pPr>
                          <w:rPr>
                            <w:rFonts w:ascii="Calibri" w:hAnsi="Calibri"/>
                            <w:color w:val="000000"/>
                            <w:sz w:val="22"/>
                            <w:szCs w:val="22"/>
                          </w:rPr>
                        </w:pPr>
                        <w:proofErr w:type="spellStart"/>
                        <w:r w:rsidRPr="0007065E">
                          <w:rPr>
                            <w:rFonts w:ascii="Calibri" w:hAnsi="Calibri"/>
                            <w:color w:val="000000"/>
                            <w:sz w:val="22"/>
                            <w:szCs w:val="22"/>
                          </w:rPr>
                          <w:t>Gns</w:t>
                        </w:r>
                        <w:proofErr w:type="spellEnd"/>
                        <w:r w:rsidRPr="0007065E">
                          <w:rPr>
                            <w:rFonts w:ascii="Calibri" w:hAnsi="Calibri"/>
                            <w:color w:val="000000"/>
                            <w:sz w:val="22"/>
                            <w:szCs w:val="22"/>
                          </w:rPr>
                          <w:t>. alder</w:t>
                        </w:r>
                      </w:p>
                    </w:tc>
                    <w:tc>
                      <w:tcPr>
                        <w:tcW w:w="1200" w:type="dxa"/>
                        <w:tcBorders>
                          <w:top w:val="nil"/>
                          <w:left w:val="nil"/>
                          <w:bottom w:val="single" w:sz="8"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73,3</w:t>
                        </w:r>
                      </w:p>
                    </w:tc>
                    <w:tc>
                      <w:tcPr>
                        <w:tcW w:w="1200" w:type="dxa"/>
                        <w:tcBorders>
                          <w:top w:val="nil"/>
                          <w:left w:val="nil"/>
                          <w:bottom w:val="single" w:sz="8" w:space="0" w:color="auto"/>
                          <w:right w:val="nil"/>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73,0</w:t>
                        </w:r>
                      </w:p>
                    </w:tc>
                    <w:tc>
                      <w:tcPr>
                        <w:tcW w:w="1200" w:type="dxa"/>
                        <w:tcBorders>
                          <w:top w:val="nil"/>
                          <w:left w:val="nil"/>
                          <w:bottom w:val="single" w:sz="8" w:space="0" w:color="auto"/>
                          <w:right w:val="single" w:sz="8" w:space="0" w:color="auto"/>
                        </w:tcBorders>
                        <w:shd w:val="clear" w:color="000000" w:fill="D8D8D8"/>
                        <w:noWrap/>
                        <w:vAlign w:val="bottom"/>
                        <w:hideMark/>
                      </w:tcPr>
                      <w:p w:rsidR="00220D70" w:rsidRPr="0007065E" w:rsidRDefault="00220D70" w:rsidP="00F335D4">
                        <w:pPr>
                          <w:jc w:val="right"/>
                          <w:rPr>
                            <w:rFonts w:ascii="Calibri" w:hAnsi="Calibri"/>
                            <w:color w:val="000000"/>
                            <w:sz w:val="22"/>
                            <w:szCs w:val="22"/>
                          </w:rPr>
                        </w:pPr>
                        <w:r w:rsidRPr="0007065E">
                          <w:rPr>
                            <w:rFonts w:ascii="Calibri" w:hAnsi="Calibri"/>
                            <w:color w:val="000000"/>
                            <w:sz w:val="22"/>
                            <w:szCs w:val="22"/>
                          </w:rPr>
                          <w:t>73,0</w:t>
                        </w:r>
                      </w:p>
                    </w:tc>
                  </w:tr>
                </w:tbl>
                <w:p w:rsidR="00220D70" w:rsidRDefault="00220D70" w:rsidP="00F335D4"/>
              </w:txbxContent>
            </v:textbox>
          </v:shape>
        </w:pict>
      </w:r>
      <w:bookmarkStart w:id="26" w:name="_Toc414519475"/>
      <w:r w:rsidR="00F335D4">
        <w:t xml:space="preserve">Tabel </w:t>
      </w:r>
      <w:fldSimple w:instr=" SEQ Tabel \* ARABIC ">
        <w:r w:rsidR="0017261E">
          <w:rPr>
            <w:noProof/>
          </w:rPr>
          <w:t>4</w:t>
        </w:r>
      </w:fldSimple>
      <w:proofErr w:type="gramStart"/>
      <w:r w:rsidR="00F335D4">
        <w:t xml:space="preserve">: </w:t>
      </w:r>
      <w:r w:rsidR="00F335D4" w:rsidRPr="00EE7D1B">
        <w:t>:</w:t>
      </w:r>
      <w:proofErr w:type="gramEnd"/>
      <w:r w:rsidR="00F335D4" w:rsidRPr="00EE7D1B">
        <w:t xml:space="preserve"> Fraktiler i hyppighedsfordelingen over leveret tid (2011-2013)</w:t>
      </w:r>
      <w:bookmarkEnd w:id="26"/>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Pr>
        <w:rPr>
          <w:b/>
        </w:rPr>
      </w:pPr>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roofErr w:type="gramStart"/>
      <w:r>
        <w:t>50%-fraktilen</w:t>
      </w:r>
      <w:proofErr w:type="gramEnd"/>
      <w:r>
        <w:t xml:space="preserve"> fortæller, at fx i 2012 modtog 50% af de visiterede borgere 280 m</w:t>
      </w:r>
      <w:r>
        <w:t>i</w:t>
      </w:r>
      <w:r>
        <w:t xml:space="preserve">nutter i sygepleje eller det der var mindre. </w:t>
      </w:r>
      <w:r>
        <w:rPr>
          <w:rStyle w:val="Fodnotehenvisning"/>
        </w:rPr>
        <w:footnoteReference w:id="3"/>
      </w:r>
      <w:r>
        <w:t xml:space="preserve"> Derudover viser fraktilerne, at der g</w:t>
      </w:r>
      <w:r>
        <w:t>e</w:t>
      </w:r>
      <w:r>
        <w:t>nerelt er sket et mindre fald i den leverede tid fra 2011 til 2013, dog med undtage</w:t>
      </w:r>
      <w:r>
        <w:t>l</w:t>
      </w:r>
      <w:r>
        <w:t xml:space="preserve">se af </w:t>
      </w:r>
      <w:proofErr w:type="gramStart"/>
      <w:r>
        <w:t>75%-fraktilen</w:t>
      </w:r>
      <w:proofErr w:type="gramEnd"/>
      <w:r>
        <w:t>. Når der ses på den gennemsnitlige alder indenfor fraktilerne er der ingen nævneværdige ændringer.</w:t>
      </w:r>
    </w:p>
    <w:p w:rsidR="00F335D4" w:rsidRDefault="00F335D4" w:rsidP="00F335D4"/>
    <w:p w:rsidR="00F335D4" w:rsidRDefault="00F335D4" w:rsidP="00F335D4">
      <w:r>
        <w:t>Samlet fortæller fraktilerne, at det må antages at der ikke er sket en tyngdeudvi</w:t>
      </w:r>
      <w:r>
        <w:t>k</w:t>
      </w:r>
      <w:r>
        <w:t>ling i sygeplejen for årene 2011, 2012 og 2013.</w:t>
      </w:r>
    </w:p>
    <w:p w:rsidR="00F335D4" w:rsidRDefault="00F335D4" w:rsidP="00F335D4"/>
    <w:p w:rsidR="00F335D4" w:rsidRPr="001F638E" w:rsidRDefault="00F335D4" w:rsidP="00F335D4">
      <w:pPr>
        <w:pStyle w:val="Overskrift3"/>
      </w:pPr>
      <w:r w:rsidRPr="001F638E">
        <w:t>Lineær regression</w:t>
      </w:r>
    </w:p>
    <w:p w:rsidR="00F335D4" w:rsidRDefault="00F335D4" w:rsidP="00F335D4">
      <w:r>
        <w:t>Som udgangspunkt antages det, at der er en funktionel sammenhæng mellem alder og leverede tid for henholdsvis 2011 og 2013 og at denne sammenhæng kan b</w:t>
      </w:r>
      <w:r>
        <w:t>e</w:t>
      </w:r>
      <w:r>
        <w:t>skrives ved en lineær model. Hypotesen er, at der ikke er nogen forskel mellem 2011 og 2013. Det betyder, at data for 2011 og 2013 har samme struktur og ege</w:t>
      </w:r>
      <w:r>
        <w:t>n</w:t>
      </w:r>
      <w:r>
        <w:lastRenderedPageBreak/>
        <w:t>skaber. I det følgende testes denne hypotese for, om den må antages at være ko</w:t>
      </w:r>
      <w:r>
        <w:t>r</w:t>
      </w:r>
      <w:r>
        <w:t>rekt. Testen gennemføres i to trin: 1) undersøgelse af om fordelingerne har samme varians (et F-test), 2) undersøgelse af om de to fordelinger har samme middelvæ</w:t>
      </w:r>
      <w:r>
        <w:t>r</w:t>
      </w:r>
      <w:r>
        <w:t xml:space="preserve">di (t-test). </w:t>
      </w:r>
    </w:p>
    <w:p w:rsidR="00F335D4" w:rsidRDefault="00F335D4" w:rsidP="00F335D4"/>
    <w:p w:rsidR="00F335D4" w:rsidRDefault="00F335D4" w:rsidP="00F335D4">
      <w:r>
        <w:t>Konklusionen på henholdsvis F-test og T-test er, at der er tale om to identiske fo</w:t>
      </w:r>
      <w:r>
        <w:t>r</w:t>
      </w:r>
      <w:r>
        <w:t>delinger. Der er ikke grundlag for at antage en ændring i tyngen indenfor sygepl</w:t>
      </w:r>
      <w:r>
        <w:t>e</w:t>
      </w:r>
      <w:r>
        <w:t>jen over perioden fra 2011 til 2013.</w:t>
      </w:r>
    </w:p>
    <w:p w:rsidR="00F335D4" w:rsidRDefault="00F335D4" w:rsidP="00F335D4">
      <w:pPr>
        <w:pStyle w:val="Overskrift4"/>
      </w:pPr>
      <w:r>
        <w:t>Undersøgelse for ens varians</w:t>
      </w:r>
    </w:p>
    <w:p w:rsidR="00F335D4" w:rsidRDefault="00F335D4" w:rsidP="00F335D4">
      <w:r>
        <w:t>Ens varians undersøges ved et F-test</w:t>
      </w:r>
      <w:r>
        <w:rPr>
          <w:rStyle w:val="Fodnotehenvisning"/>
        </w:rPr>
        <w:footnoteReference w:id="4"/>
      </w:r>
      <w:r>
        <w:t>. Det afprøves om den leverede tid op ge</w:t>
      </w:r>
      <w:r>
        <w:t>n</w:t>
      </w:r>
      <w:r>
        <w:t>nem de respektive alderstrin udviser et mønster, hvor det ikke kan afvises at 2011 og 2013 er ens. Hvis der er forskel, betyder det, at 2011 og 2013 har forskellig middelværdi og dermed ubetinget, at der er sket et skifte i tyngden blandt borge</w:t>
      </w:r>
      <w:r>
        <w:t>r</w:t>
      </w:r>
      <w:r>
        <w:t xml:space="preserve">ne. </w:t>
      </w:r>
    </w:p>
    <w:p w:rsidR="00F335D4" w:rsidRDefault="00F335D4" w:rsidP="00F335D4"/>
    <w:p w:rsidR="00F335D4" w:rsidRDefault="00F335D4" w:rsidP="00F335D4">
      <w:r>
        <w:t xml:space="preserve">I tabellen ses resultat af </w:t>
      </w:r>
      <w:proofErr w:type="spellStart"/>
      <w:r>
        <w:t>F-testet</w:t>
      </w:r>
      <w:proofErr w:type="spellEnd"/>
      <w:r>
        <w:t>. Først registreres, at der er 31 alderstrin (</w:t>
      </w:r>
      <w:proofErr w:type="spellStart"/>
      <w:r>
        <w:t>fg</w:t>
      </w:r>
      <w:proofErr w:type="spellEnd"/>
      <w:r>
        <w:t>), dvs. at 2011 og 2013 begge er fælles om at have registrerede observationer (ud falder alderstrinnet 96, 97 og 100 år).</w:t>
      </w:r>
    </w:p>
    <w:p w:rsidR="00F335D4" w:rsidRDefault="00F335D4" w:rsidP="00F335D4"/>
    <w:p w:rsidR="00F335D4" w:rsidRDefault="00F335D4" w:rsidP="00F335D4">
      <w:r>
        <w:t xml:space="preserve">Kriteriet for at antage at antage samme varians er, at F &lt; F-kritisk. Den betingelse er opfyldt, idet 1,206 er mindre end 1,8409. </w:t>
      </w:r>
    </w:p>
    <w:p w:rsidR="00F335D4" w:rsidRDefault="00F335D4" w:rsidP="00F335D4"/>
    <w:p w:rsidR="00F335D4" w:rsidRDefault="00F335D4" w:rsidP="00F335D4">
      <w:r>
        <w:t>Konklusionen er, at det ikke kan afvises at de to fordelinger har samme varians.</w:t>
      </w:r>
    </w:p>
    <w:p w:rsidR="00F335D4" w:rsidRDefault="00F335D4" w:rsidP="00F335D4"/>
    <w:p w:rsidR="00F335D4" w:rsidRDefault="000B05D0" w:rsidP="00F335D4">
      <w:pPr>
        <w:pStyle w:val="Billedtekst"/>
      </w:pPr>
      <w:r>
        <w:rPr>
          <w:noProof/>
          <w:lang w:eastAsia="en-US"/>
        </w:rPr>
        <w:pict>
          <v:shape id="_x0000_s1101" type="#_x0000_t202" style="position:absolute;margin-left:5.7pt;margin-top:18.9pt;width:439.35pt;height:135.6pt;z-index:251737088;mso-width-relative:margin;mso-height-relative:margin">
            <v:textbox style="mso-next-textbox:#_x0000_s1101">
              <w:txbxContent>
                <w:tbl>
                  <w:tblPr>
                    <w:tblW w:w="7300" w:type="dxa"/>
                    <w:tblInd w:w="54" w:type="dxa"/>
                    <w:tblCellMar>
                      <w:left w:w="70" w:type="dxa"/>
                      <w:right w:w="70" w:type="dxa"/>
                    </w:tblCellMar>
                    <w:tblLook w:val="04A0"/>
                  </w:tblPr>
                  <w:tblGrid>
                    <w:gridCol w:w="3160"/>
                    <w:gridCol w:w="2000"/>
                    <w:gridCol w:w="2140"/>
                  </w:tblGrid>
                  <w:tr w:rsidR="00220D70" w:rsidRPr="00F349DA" w:rsidTr="00F349DA">
                    <w:trPr>
                      <w:trHeight w:val="288"/>
                    </w:trPr>
                    <w:tc>
                      <w:tcPr>
                        <w:tcW w:w="316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 </w:t>
                        </w:r>
                      </w:p>
                    </w:tc>
                    <w:tc>
                      <w:tcPr>
                        <w:tcW w:w="200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2011</w:t>
                        </w:r>
                      </w:p>
                    </w:tc>
                    <w:tc>
                      <w:tcPr>
                        <w:tcW w:w="214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2013</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Middelværdi</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886,3161201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868,4019987</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Varians</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79565,95668</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65993,78874</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Observationer</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31</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roofErr w:type="spellStart"/>
                        <w:r w:rsidRPr="00F349DA">
                          <w:rPr>
                            <w:rFonts w:ascii="Calibri" w:hAnsi="Calibri"/>
                            <w:color w:val="000000"/>
                            <w:sz w:val="22"/>
                            <w:szCs w:val="22"/>
                          </w:rPr>
                          <w:t>fg</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30</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30</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F</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1,205658263</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P(</w:t>
                        </w:r>
                        <w:proofErr w:type="spellStart"/>
                        <w:r w:rsidRPr="00F349DA">
                          <w:rPr>
                            <w:rFonts w:ascii="Calibri" w:hAnsi="Calibri"/>
                            <w:color w:val="000000"/>
                            <w:sz w:val="22"/>
                            <w:szCs w:val="22"/>
                          </w:rPr>
                          <w:t>F&lt;=f</w:t>
                        </w:r>
                        <w:proofErr w:type="spellEnd"/>
                        <w:r w:rsidRPr="00F349DA">
                          <w:rPr>
                            <w:rFonts w:ascii="Calibri" w:hAnsi="Calibri"/>
                            <w:color w:val="000000"/>
                            <w:sz w:val="22"/>
                            <w:szCs w:val="22"/>
                          </w:rPr>
                          <w:t xml:space="preserve">) </w:t>
                        </w:r>
                        <w:proofErr w:type="spellStart"/>
                        <w:r w:rsidRPr="00F349DA">
                          <w:rPr>
                            <w:rFonts w:ascii="Calibri" w:hAnsi="Calibri"/>
                            <w:color w:val="000000"/>
                            <w:sz w:val="22"/>
                            <w:szCs w:val="22"/>
                          </w:rPr>
                          <w:t>en-halet</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0,</w:t>
                        </w:r>
                        <w:proofErr w:type="gramStart"/>
                        <w:r w:rsidRPr="00F349DA">
                          <w:rPr>
                            <w:rFonts w:ascii="Calibri" w:hAnsi="Calibri"/>
                            <w:color w:val="000000"/>
                            <w:sz w:val="22"/>
                            <w:szCs w:val="22"/>
                          </w:rPr>
                          <w:t>30587574</w:t>
                        </w:r>
                        <w:proofErr w:type="gramEnd"/>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300"/>
                    </w:trPr>
                    <w:tc>
                      <w:tcPr>
                        <w:tcW w:w="3160" w:type="dxa"/>
                        <w:tcBorders>
                          <w:top w:val="nil"/>
                          <w:left w:val="nil"/>
                          <w:bottom w:val="single" w:sz="8" w:space="0" w:color="auto"/>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 xml:space="preserve">F-kritisk </w:t>
                        </w:r>
                        <w:proofErr w:type="spellStart"/>
                        <w:r w:rsidRPr="00F349DA">
                          <w:rPr>
                            <w:rFonts w:ascii="Calibri" w:hAnsi="Calibri"/>
                            <w:color w:val="000000"/>
                            <w:sz w:val="22"/>
                            <w:szCs w:val="22"/>
                          </w:rPr>
                          <w:t>en-halet</w:t>
                        </w:r>
                        <w:proofErr w:type="spellEnd"/>
                      </w:p>
                    </w:tc>
                    <w:tc>
                      <w:tcPr>
                        <w:tcW w:w="2000" w:type="dxa"/>
                        <w:tcBorders>
                          <w:top w:val="nil"/>
                          <w:left w:val="nil"/>
                          <w:bottom w:val="single" w:sz="8" w:space="0" w:color="auto"/>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1,840871688</w:t>
                        </w:r>
                      </w:p>
                    </w:tc>
                    <w:tc>
                      <w:tcPr>
                        <w:tcW w:w="2140" w:type="dxa"/>
                        <w:tcBorders>
                          <w:top w:val="nil"/>
                          <w:left w:val="nil"/>
                          <w:bottom w:val="single" w:sz="8" w:space="0" w:color="auto"/>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 </w:t>
                        </w:r>
                      </w:p>
                    </w:tc>
                  </w:tr>
                </w:tbl>
                <w:p w:rsidR="00220D70" w:rsidRDefault="00220D70" w:rsidP="00F335D4"/>
              </w:txbxContent>
            </v:textbox>
          </v:shape>
        </w:pict>
      </w:r>
      <w:bookmarkStart w:id="27" w:name="_Toc414519476"/>
      <w:r w:rsidR="00F335D4">
        <w:t xml:space="preserve">Tabel </w:t>
      </w:r>
      <w:fldSimple w:instr=" SEQ Tabel \* ARABIC ">
        <w:r w:rsidR="0017261E">
          <w:rPr>
            <w:noProof/>
          </w:rPr>
          <w:t>5</w:t>
        </w:r>
      </w:fldSimple>
      <w:r w:rsidR="00F335D4">
        <w:t xml:space="preserve">: </w:t>
      </w:r>
      <w:r w:rsidR="00F335D4" w:rsidRPr="007D7444">
        <w:t>F-test for samme varians for 2011 og 2013.</w:t>
      </w:r>
      <w:bookmarkEnd w:id="27"/>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Pr>
        <w:pStyle w:val="Overskrift4"/>
      </w:pPr>
      <w:r>
        <w:t>Undersøgelse for samme middelværdi</w:t>
      </w:r>
    </w:p>
    <w:p w:rsidR="00F335D4" w:rsidRDefault="00F335D4" w:rsidP="00F335D4">
      <w:r>
        <w:t>T-testen undersøger de to fordelingers middelværdier og i hvilken udstrækning, det er sandsynligt at de er ens. Af tabellen ses at t-stat er mindre end t-kritisk. det b</w:t>
      </w:r>
      <w:r>
        <w:t>e</w:t>
      </w:r>
      <w:r>
        <w:t>tyder, at det ikke kan afvises at middelværdierne er ens. Sandsynligheden for at dette rent faktisk er tilfældet er 79,</w:t>
      </w:r>
      <w:proofErr w:type="gramStart"/>
      <w:r>
        <w:t>47%</w:t>
      </w:r>
      <w:proofErr w:type="gramEnd"/>
      <w:r>
        <w:t xml:space="preserve"> målt ved P-værdien.</w:t>
      </w:r>
    </w:p>
    <w:p w:rsidR="0017261E" w:rsidRDefault="0017261E">
      <w:r>
        <w:br w:type="page"/>
      </w:r>
    </w:p>
    <w:p w:rsidR="00F335D4" w:rsidRDefault="000B05D0" w:rsidP="00F335D4">
      <w:pPr>
        <w:pStyle w:val="Billedtekst"/>
      </w:pPr>
      <w:r>
        <w:rPr>
          <w:noProof/>
          <w:lang w:eastAsia="en-US"/>
        </w:rPr>
        <w:lastRenderedPageBreak/>
        <w:pict>
          <v:shape id="_x0000_s1102" type="#_x0000_t202" style="position:absolute;margin-left:4.65pt;margin-top:16.95pt;width:396.3pt;height:200.8pt;z-index:251738112;mso-width-relative:margin;mso-height-relative:margin">
            <v:textbox style="mso-next-textbox:#_x0000_s1102">
              <w:txbxContent>
                <w:tbl>
                  <w:tblPr>
                    <w:tblW w:w="7300" w:type="dxa"/>
                    <w:tblInd w:w="54" w:type="dxa"/>
                    <w:tblCellMar>
                      <w:left w:w="70" w:type="dxa"/>
                      <w:right w:w="70" w:type="dxa"/>
                    </w:tblCellMar>
                    <w:tblLook w:val="04A0"/>
                  </w:tblPr>
                  <w:tblGrid>
                    <w:gridCol w:w="3160"/>
                    <w:gridCol w:w="2000"/>
                    <w:gridCol w:w="2140"/>
                  </w:tblGrid>
                  <w:tr w:rsidR="00220D70" w:rsidRPr="00F349DA" w:rsidTr="00F349DA">
                    <w:trPr>
                      <w:trHeight w:val="288"/>
                    </w:trPr>
                    <w:tc>
                      <w:tcPr>
                        <w:tcW w:w="316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 </w:t>
                        </w:r>
                      </w:p>
                    </w:tc>
                    <w:tc>
                      <w:tcPr>
                        <w:tcW w:w="200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2011</w:t>
                        </w:r>
                      </w:p>
                    </w:tc>
                    <w:tc>
                      <w:tcPr>
                        <w:tcW w:w="2140" w:type="dxa"/>
                        <w:tcBorders>
                          <w:top w:val="single" w:sz="8" w:space="0" w:color="auto"/>
                          <w:left w:val="nil"/>
                          <w:bottom w:val="single" w:sz="4" w:space="0" w:color="auto"/>
                          <w:right w:val="nil"/>
                        </w:tcBorders>
                        <w:shd w:val="clear" w:color="auto" w:fill="auto"/>
                        <w:noWrap/>
                        <w:vAlign w:val="bottom"/>
                        <w:hideMark/>
                      </w:tcPr>
                      <w:p w:rsidR="00220D70" w:rsidRPr="00F349DA" w:rsidRDefault="00220D70" w:rsidP="00F349DA">
                        <w:pPr>
                          <w:jc w:val="center"/>
                          <w:rPr>
                            <w:rFonts w:ascii="Calibri" w:hAnsi="Calibri"/>
                            <w:i/>
                            <w:iCs/>
                            <w:color w:val="000000"/>
                            <w:sz w:val="22"/>
                            <w:szCs w:val="22"/>
                          </w:rPr>
                        </w:pPr>
                        <w:r w:rsidRPr="00F349DA">
                          <w:rPr>
                            <w:rFonts w:ascii="Calibri" w:hAnsi="Calibri"/>
                            <w:i/>
                            <w:iCs/>
                            <w:color w:val="000000"/>
                            <w:sz w:val="22"/>
                            <w:szCs w:val="22"/>
                          </w:rPr>
                          <w:t>2013</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Middelværdi</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886,3161201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868,4019987</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Varians</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79565,95668</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65993,78874</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Observationer</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31</w:t>
                        </w: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Puljevarians</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72779,87271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Hypotese for forskel i midde</w:t>
                        </w:r>
                        <w:r w:rsidRPr="00F349DA">
                          <w:rPr>
                            <w:rFonts w:ascii="Calibri" w:hAnsi="Calibri"/>
                            <w:color w:val="000000"/>
                            <w:sz w:val="22"/>
                            <w:szCs w:val="22"/>
                          </w:rPr>
                          <w:t>l</w:t>
                        </w:r>
                        <w:r w:rsidRPr="00F349DA">
                          <w:rPr>
                            <w:rFonts w:ascii="Calibri" w:hAnsi="Calibri"/>
                            <w:color w:val="000000"/>
                            <w:sz w:val="22"/>
                            <w:szCs w:val="22"/>
                          </w:rPr>
                          <w:t>værdi</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0</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roofErr w:type="spellStart"/>
                        <w:r w:rsidRPr="00F349DA">
                          <w:rPr>
                            <w:rFonts w:ascii="Calibri" w:hAnsi="Calibri"/>
                            <w:color w:val="000000"/>
                            <w:sz w:val="22"/>
                            <w:szCs w:val="22"/>
                          </w:rPr>
                          <w:t>fg</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60</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t-stat</w:t>
                        </w:r>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0,261430176</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P(</w:t>
                        </w:r>
                        <w:proofErr w:type="spellStart"/>
                        <w:r w:rsidRPr="00F349DA">
                          <w:rPr>
                            <w:rFonts w:ascii="Calibri" w:hAnsi="Calibri"/>
                            <w:color w:val="000000"/>
                            <w:sz w:val="22"/>
                            <w:szCs w:val="22"/>
                          </w:rPr>
                          <w:t>T&lt;=t</w:t>
                        </w:r>
                        <w:proofErr w:type="spellEnd"/>
                        <w:r w:rsidRPr="00F349DA">
                          <w:rPr>
                            <w:rFonts w:ascii="Calibri" w:hAnsi="Calibri"/>
                            <w:color w:val="000000"/>
                            <w:sz w:val="22"/>
                            <w:szCs w:val="22"/>
                          </w:rPr>
                          <w:t xml:space="preserve">) </w:t>
                        </w:r>
                        <w:proofErr w:type="spellStart"/>
                        <w:r w:rsidRPr="00F349DA">
                          <w:rPr>
                            <w:rFonts w:ascii="Calibri" w:hAnsi="Calibri"/>
                            <w:color w:val="000000"/>
                            <w:sz w:val="22"/>
                            <w:szCs w:val="22"/>
                          </w:rPr>
                          <w:t>en-halet</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0,</w:t>
                        </w:r>
                        <w:proofErr w:type="gramStart"/>
                        <w:r w:rsidRPr="00F349DA">
                          <w:rPr>
                            <w:rFonts w:ascii="Calibri" w:hAnsi="Calibri"/>
                            <w:color w:val="000000"/>
                            <w:sz w:val="22"/>
                            <w:szCs w:val="22"/>
                          </w:rPr>
                          <w:t>39732806</w:t>
                        </w:r>
                        <w:proofErr w:type="gramEnd"/>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 xml:space="preserve">t-kritisk </w:t>
                        </w:r>
                        <w:proofErr w:type="spellStart"/>
                        <w:r w:rsidRPr="00F349DA">
                          <w:rPr>
                            <w:rFonts w:ascii="Calibri" w:hAnsi="Calibri"/>
                            <w:color w:val="000000"/>
                            <w:sz w:val="22"/>
                            <w:szCs w:val="22"/>
                          </w:rPr>
                          <w:t>en-halet</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1,670648865</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288"/>
                    </w:trPr>
                    <w:tc>
                      <w:tcPr>
                        <w:tcW w:w="316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P(</w:t>
                        </w:r>
                        <w:proofErr w:type="spellStart"/>
                        <w:r w:rsidRPr="00F349DA">
                          <w:rPr>
                            <w:rFonts w:ascii="Calibri" w:hAnsi="Calibri"/>
                            <w:color w:val="000000"/>
                            <w:sz w:val="22"/>
                            <w:szCs w:val="22"/>
                          </w:rPr>
                          <w:t>T&lt;=t</w:t>
                        </w:r>
                        <w:proofErr w:type="spellEnd"/>
                        <w:r w:rsidRPr="00F349DA">
                          <w:rPr>
                            <w:rFonts w:ascii="Calibri" w:hAnsi="Calibri"/>
                            <w:color w:val="000000"/>
                            <w:sz w:val="22"/>
                            <w:szCs w:val="22"/>
                          </w:rPr>
                          <w:t xml:space="preserve">) </w:t>
                        </w:r>
                        <w:proofErr w:type="spellStart"/>
                        <w:r w:rsidRPr="00F349DA">
                          <w:rPr>
                            <w:rFonts w:ascii="Calibri" w:hAnsi="Calibri"/>
                            <w:color w:val="000000"/>
                            <w:sz w:val="22"/>
                            <w:szCs w:val="22"/>
                          </w:rPr>
                          <w:t>to-halet</w:t>
                        </w:r>
                        <w:proofErr w:type="spellEnd"/>
                      </w:p>
                    </w:tc>
                    <w:tc>
                      <w:tcPr>
                        <w:tcW w:w="2000" w:type="dxa"/>
                        <w:tcBorders>
                          <w:top w:val="nil"/>
                          <w:left w:val="nil"/>
                          <w:bottom w:val="nil"/>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0,794656121</w:t>
                        </w:r>
                      </w:p>
                    </w:tc>
                    <w:tc>
                      <w:tcPr>
                        <w:tcW w:w="2140" w:type="dxa"/>
                        <w:tcBorders>
                          <w:top w:val="nil"/>
                          <w:left w:val="nil"/>
                          <w:bottom w:val="nil"/>
                          <w:right w:val="nil"/>
                        </w:tcBorders>
                        <w:shd w:val="clear" w:color="auto" w:fill="auto"/>
                        <w:noWrap/>
                        <w:vAlign w:val="bottom"/>
                        <w:hideMark/>
                      </w:tcPr>
                      <w:p w:rsidR="00220D70" w:rsidRPr="00F349DA" w:rsidRDefault="00220D70" w:rsidP="00F349DA">
                        <w:pPr>
                          <w:rPr>
                            <w:rFonts w:ascii="Calibri" w:hAnsi="Calibri"/>
                            <w:color w:val="000000"/>
                            <w:sz w:val="22"/>
                            <w:szCs w:val="22"/>
                          </w:rPr>
                        </w:pPr>
                      </w:p>
                    </w:tc>
                  </w:tr>
                  <w:tr w:rsidR="00220D70" w:rsidRPr="00F349DA" w:rsidTr="00F349DA">
                    <w:trPr>
                      <w:trHeight w:val="300"/>
                    </w:trPr>
                    <w:tc>
                      <w:tcPr>
                        <w:tcW w:w="3160" w:type="dxa"/>
                        <w:tcBorders>
                          <w:top w:val="nil"/>
                          <w:left w:val="nil"/>
                          <w:bottom w:val="single" w:sz="8" w:space="0" w:color="auto"/>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 xml:space="preserve">t-kritisk </w:t>
                        </w:r>
                        <w:proofErr w:type="spellStart"/>
                        <w:r w:rsidRPr="00F349DA">
                          <w:rPr>
                            <w:rFonts w:ascii="Calibri" w:hAnsi="Calibri"/>
                            <w:color w:val="000000"/>
                            <w:sz w:val="22"/>
                            <w:szCs w:val="22"/>
                          </w:rPr>
                          <w:t>to-halet</w:t>
                        </w:r>
                        <w:proofErr w:type="spellEnd"/>
                      </w:p>
                    </w:tc>
                    <w:tc>
                      <w:tcPr>
                        <w:tcW w:w="2000" w:type="dxa"/>
                        <w:tcBorders>
                          <w:top w:val="nil"/>
                          <w:left w:val="nil"/>
                          <w:bottom w:val="single" w:sz="8" w:space="0" w:color="auto"/>
                          <w:right w:val="nil"/>
                        </w:tcBorders>
                        <w:shd w:val="clear" w:color="auto" w:fill="auto"/>
                        <w:noWrap/>
                        <w:vAlign w:val="bottom"/>
                        <w:hideMark/>
                      </w:tcPr>
                      <w:p w:rsidR="00220D70" w:rsidRPr="00F349DA" w:rsidRDefault="00220D70" w:rsidP="00F349DA">
                        <w:pPr>
                          <w:jc w:val="right"/>
                          <w:rPr>
                            <w:rFonts w:ascii="Calibri" w:hAnsi="Calibri"/>
                            <w:color w:val="000000"/>
                            <w:sz w:val="22"/>
                            <w:szCs w:val="22"/>
                          </w:rPr>
                        </w:pPr>
                        <w:r w:rsidRPr="00F349DA">
                          <w:rPr>
                            <w:rFonts w:ascii="Calibri" w:hAnsi="Calibri"/>
                            <w:color w:val="000000"/>
                            <w:sz w:val="22"/>
                            <w:szCs w:val="22"/>
                          </w:rPr>
                          <w:t>2,000297804</w:t>
                        </w:r>
                      </w:p>
                    </w:tc>
                    <w:tc>
                      <w:tcPr>
                        <w:tcW w:w="2140" w:type="dxa"/>
                        <w:tcBorders>
                          <w:top w:val="nil"/>
                          <w:left w:val="nil"/>
                          <w:bottom w:val="single" w:sz="8" w:space="0" w:color="auto"/>
                          <w:right w:val="nil"/>
                        </w:tcBorders>
                        <w:shd w:val="clear" w:color="auto" w:fill="auto"/>
                        <w:noWrap/>
                        <w:vAlign w:val="bottom"/>
                        <w:hideMark/>
                      </w:tcPr>
                      <w:p w:rsidR="00220D70" w:rsidRPr="00F349DA" w:rsidRDefault="00220D70" w:rsidP="00F349DA">
                        <w:pPr>
                          <w:rPr>
                            <w:rFonts w:ascii="Calibri" w:hAnsi="Calibri"/>
                            <w:color w:val="000000"/>
                            <w:sz w:val="22"/>
                            <w:szCs w:val="22"/>
                          </w:rPr>
                        </w:pPr>
                        <w:r w:rsidRPr="00F349DA">
                          <w:rPr>
                            <w:rFonts w:ascii="Calibri" w:hAnsi="Calibri"/>
                            <w:color w:val="000000"/>
                            <w:sz w:val="22"/>
                            <w:szCs w:val="22"/>
                          </w:rPr>
                          <w:t> </w:t>
                        </w:r>
                      </w:p>
                    </w:tc>
                  </w:tr>
                </w:tbl>
                <w:p w:rsidR="00220D70" w:rsidRDefault="00220D70" w:rsidP="00F335D4"/>
              </w:txbxContent>
            </v:textbox>
          </v:shape>
        </w:pict>
      </w:r>
      <w:bookmarkStart w:id="28" w:name="_Toc414519477"/>
      <w:r w:rsidR="00F335D4">
        <w:t xml:space="preserve">Tabel </w:t>
      </w:r>
      <w:fldSimple w:instr=" SEQ Tabel \* ARABIC ">
        <w:r w:rsidR="0017261E">
          <w:rPr>
            <w:noProof/>
          </w:rPr>
          <w:t>6</w:t>
        </w:r>
      </w:fldSimple>
      <w:r w:rsidR="00F335D4">
        <w:t>:</w:t>
      </w:r>
      <w:r w:rsidR="00F335D4" w:rsidRPr="001D7420">
        <w:t>T-test for samme middelværdi for 2011 og 2013</w:t>
      </w:r>
      <w:bookmarkEnd w:id="28"/>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Default="00F335D4" w:rsidP="00F335D4">
      <w:pPr>
        <w:rPr>
          <w:u w:val="single"/>
        </w:rPr>
      </w:pPr>
    </w:p>
    <w:p w:rsidR="00F335D4" w:rsidRPr="001F638E" w:rsidRDefault="00F335D4" w:rsidP="00F335D4">
      <w:pPr>
        <w:pStyle w:val="Overskrift3"/>
        <w:rPr>
          <w:sz w:val="22"/>
          <w:szCs w:val="22"/>
        </w:rPr>
      </w:pPr>
      <w:r w:rsidRPr="001F638E">
        <w:rPr>
          <w:sz w:val="22"/>
          <w:szCs w:val="22"/>
        </w:rPr>
        <w:t xml:space="preserve">Antallet af ældre </w:t>
      </w:r>
    </w:p>
    <w:p w:rsidR="00F335D4" w:rsidRDefault="00F335D4" w:rsidP="00F335D4">
      <w:r>
        <w:t>På kort sigt (3-4 år) ventes den procentvise andel af de ældre borgere, som i dag modtager Hjemmepleje at forblive uændret. Disse andele fremgår af tabellen og anvendes som faste vægte til at finde antallet af ældre personer for hvert af årene.</w:t>
      </w:r>
    </w:p>
    <w:p w:rsidR="0017261E" w:rsidRDefault="0017261E"/>
    <w:p w:rsidR="00F335D4" w:rsidRDefault="00F335D4" w:rsidP="00F335D4">
      <w:pPr>
        <w:pStyle w:val="Billedtekst"/>
      </w:pPr>
      <w:bookmarkStart w:id="29" w:name="_Ref414344428"/>
      <w:bookmarkStart w:id="30" w:name="_Ref400371404"/>
      <w:bookmarkStart w:id="31" w:name="_Toc414519478"/>
      <w:r>
        <w:t xml:space="preserve">Tabel </w:t>
      </w:r>
      <w:fldSimple w:instr=" SEQ Tabel \* ARABIC ">
        <w:r w:rsidR="0017261E">
          <w:rPr>
            <w:noProof/>
          </w:rPr>
          <w:t>7</w:t>
        </w:r>
      </w:fldSimple>
      <w:bookmarkEnd w:id="29"/>
      <w:r>
        <w:t xml:space="preserve">: </w:t>
      </w:r>
      <w:r w:rsidRPr="00652980">
        <w:t>Procentvis andel af ældre, der modtager hjemmeplejeydelser</w:t>
      </w:r>
      <w:bookmarkEnd w:id="30"/>
      <w:bookmarkEnd w:id="31"/>
    </w:p>
    <w:p w:rsidR="00066902" w:rsidRDefault="00066902" w:rsidP="00F335D4">
      <w:r w:rsidRPr="00066902">
        <w:rPr>
          <w:noProof/>
        </w:rPr>
        <w:drawing>
          <wp:inline distT="0" distB="0" distL="0" distR="0">
            <wp:extent cx="3051810" cy="3605910"/>
            <wp:effectExtent l="19050" t="0" r="0" b="0"/>
            <wp:docPr id="10"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srcRect/>
                    <a:stretch>
                      <a:fillRect/>
                    </a:stretch>
                  </pic:blipFill>
                  <pic:spPr bwMode="auto">
                    <a:xfrm>
                      <a:off x="0" y="0"/>
                      <a:ext cx="3050868" cy="3604797"/>
                    </a:xfrm>
                    <a:prstGeom prst="rect">
                      <a:avLst/>
                    </a:prstGeom>
                    <a:noFill/>
                    <a:ln w="9525">
                      <a:noFill/>
                      <a:miter lim="800000"/>
                      <a:headEnd/>
                      <a:tailEnd/>
                    </a:ln>
                  </pic:spPr>
                </pic:pic>
              </a:graphicData>
            </a:graphic>
          </wp:inline>
        </w:drawing>
      </w:r>
    </w:p>
    <w:p w:rsidR="00066902" w:rsidRDefault="00066902" w:rsidP="00F335D4"/>
    <w:p w:rsidR="00F335D4" w:rsidRDefault="00F335D4" w:rsidP="00F335D4">
      <w:r>
        <w:t>Vægtene er opgjort som antal unikke cpr-numre for 201</w:t>
      </w:r>
      <w:r w:rsidR="005747DF">
        <w:t>4</w:t>
      </w:r>
      <w:r>
        <w:t xml:space="preserve"> i Hjemmeplejen sat i fo</w:t>
      </w:r>
      <w:r>
        <w:t>r</w:t>
      </w:r>
      <w:r>
        <w:t>hold til antallet af ældre i samme aldersgruppe i 201</w:t>
      </w:r>
      <w:r w:rsidR="005747DF">
        <w:t>4</w:t>
      </w:r>
      <w:r>
        <w:t xml:space="preserve">. </w:t>
      </w:r>
    </w:p>
    <w:p w:rsidR="00F335D4" w:rsidRPr="00756D18" w:rsidRDefault="00F335D4" w:rsidP="00F335D4">
      <w:r>
        <w:t>Antallet af ældre</w:t>
      </w:r>
      <w:r w:rsidR="00066902">
        <w:t>, der ventes at skal have hjemmeplejeydelser i frem mod 2020 b</w:t>
      </w:r>
      <w:r w:rsidR="00066902">
        <w:t>e</w:t>
      </w:r>
      <w:r w:rsidR="00066902">
        <w:t xml:space="preserve">stemmes </w:t>
      </w:r>
      <w:r>
        <w:t xml:space="preserve">ved at gange </w:t>
      </w:r>
      <w:r w:rsidR="000B05D0">
        <w:fldChar w:fldCharType="begin"/>
      </w:r>
      <w:r w:rsidR="00066902">
        <w:instrText xml:space="preserve"> REF _Ref414344428 \h </w:instrText>
      </w:r>
      <w:r w:rsidR="000B05D0">
        <w:fldChar w:fldCharType="separate"/>
      </w:r>
      <w:r w:rsidR="00066902">
        <w:t xml:space="preserve">Tabel </w:t>
      </w:r>
      <w:r w:rsidR="00066902">
        <w:rPr>
          <w:noProof/>
        </w:rPr>
        <w:t>9</w:t>
      </w:r>
      <w:r w:rsidR="000B05D0">
        <w:fldChar w:fldCharType="end"/>
      </w:r>
      <w:r w:rsidR="00066902">
        <w:t xml:space="preserve"> </w:t>
      </w:r>
      <w:r>
        <w:t xml:space="preserve">med </w:t>
      </w:r>
      <w:r w:rsidR="00066902">
        <w:t>befolkningsprognosen.</w:t>
      </w:r>
      <w:r>
        <w:t xml:space="preserve"> </w:t>
      </w:r>
    </w:p>
    <w:p w:rsidR="00F335D4" w:rsidRPr="00756D18" w:rsidRDefault="00F335D4" w:rsidP="00F335D4"/>
    <w:p w:rsidR="00F335D4" w:rsidRPr="001F638E" w:rsidRDefault="00F335D4" w:rsidP="00F335D4">
      <w:pPr>
        <w:pStyle w:val="Overskrift3"/>
        <w:rPr>
          <w:sz w:val="22"/>
          <w:szCs w:val="22"/>
        </w:rPr>
      </w:pPr>
      <w:r w:rsidRPr="001F638E">
        <w:rPr>
          <w:sz w:val="22"/>
          <w:szCs w:val="22"/>
        </w:rPr>
        <w:lastRenderedPageBreak/>
        <w:t xml:space="preserve">Beregning af enhedsbeløb </w:t>
      </w:r>
    </w:p>
    <w:p w:rsidR="005F4EB0" w:rsidRDefault="00F335D4" w:rsidP="00F335D4">
      <w:r>
        <w:t xml:space="preserve">Da antallet af unikke cpr-numre kendes kan enhedsbeløbene bestemmes jf. </w:t>
      </w:r>
      <w:r w:rsidR="000B05D0">
        <w:fldChar w:fldCharType="begin"/>
      </w:r>
      <w:r>
        <w:instrText xml:space="preserve"> REF _Ref400372911 \h </w:instrText>
      </w:r>
      <w:r w:rsidR="000B05D0">
        <w:fldChar w:fldCharType="separate"/>
      </w:r>
      <w:r>
        <w:t xml:space="preserve">Tabel </w:t>
      </w:r>
      <w:r>
        <w:rPr>
          <w:noProof/>
        </w:rPr>
        <w:t>10</w:t>
      </w:r>
      <w:r w:rsidR="000B05D0">
        <w:fldChar w:fldCharType="end"/>
      </w:r>
      <w:r>
        <w:t>. Af tabellen ses, at hver ny borger, der får leveret fx Praktisk Hjælp koster me</w:t>
      </w:r>
      <w:r>
        <w:t>l</w:t>
      </w:r>
      <w:r>
        <w:t>lem kr. 1</w:t>
      </w:r>
      <w:r w:rsidR="00473D24">
        <w:t>0</w:t>
      </w:r>
      <w:r>
        <w:t>.</w:t>
      </w:r>
      <w:r w:rsidR="00473D24">
        <w:t>291</w:t>
      </w:r>
      <w:r>
        <w:t xml:space="preserve"> og kr. </w:t>
      </w:r>
      <w:r w:rsidR="00473D24">
        <w:t>23</w:t>
      </w:r>
      <w:r>
        <w:t>.</w:t>
      </w:r>
      <w:r w:rsidR="00473D24">
        <w:t>125</w:t>
      </w:r>
      <w:r>
        <w:t xml:space="preserve"> afhængig af borgerens aldersgruppe. I gennemsnit koster Praktisk Hjælp således kr. kr. 12.</w:t>
      </w:r>
      <w:r w:rsidR="00473D24">
        <w:t>124</w:t>
      </w:r>
      <w:r>
        <w:t xml:space="preserve"> pr. borger pr. år. På Personlig Pleje er den årlige udgift pr. borger i gennemsnit kr. </w:t>
      </w:r>
      <w:r w:rsidR="00473D24">
        <w:t>1</w:t>
      </w:r>
      <w:r w:rsidR="004462B8">
        <w:t>30</w:t>
      </w:r>
      <w:r w:rsidR="00473D24">
        <w:t>.</w:t>
      </w:r>
      <w:r w:rsidR="004462B8">
        <w:t>746</w:t>
      </w:r>
      <w:r w:rsidR="004462B8">
        <w:rPr>
          <w:rStyle w:val="Fodnotehenvisning"/>
        </w:rPr>
        <w:footnoteReference w:id="5"/>
      </w:r>
      <w:r w:rsidR="00186171">
        <w:t xml:space="preserve">. </w:t>
      </w:r>
      <w:r>
        <w:t xml:space="preserve">Sygeplejen er det område med gennemsnitligt flest borgere (ikke at forveksle med antal leverede ydelser) og hvor den gennemsnitlige borger koster kr. </w:t>
      </w:r>
      <w:r w:rsidR="00186171">
        <w:t>33</w:t>
      </w:r>
      <w:r>
        <w:t>.</w:t>
      </w:r>
      <w:r w:rsidR="00186171">
        <w:t>410</w:t>
      </w:r>
      <w:r>
        <w:t xml:space="preserve"> om året. </w:t>
      </w:r>
    </w:p>
    <w:p w:rsidR="00473D24" w:rsidRDefault="00473D24">
      <w:pPr>
        <w:sectPr w:rsidR="00473D24" w:rsidSect="005F4EB0">
          <w:headerReference w:type="default" r:id="rId15"/>
          <w:footerReference w:type="default" r:id="rId16"/>
          <w:footerReference w:type="first" r:id="rId17"/>
          <w:pgSz w:w="11906" w:h="16838" w:code="9"/>
          <w:pgMar w:top="2041" w:right="1701" w:bottom="323" w:left="1701" w:header="709" w:footer="284" w:gutter="0"/>
          <w:cols w:space="708"/>
          <w:docGrid w:linePitch="360"/>
        </w:sectPr>
      </w:pPr>
    </w:p>
    <w:p w:rsidR="005F4EB0" w:rsidRDefault="005F4EB0"/>
    <w:p w:rsidR="00F335D4" w:rsidRDefault="00F335D4" w:rsidP="00473D24">
      <w:pPr>
        <w:pStyle w:val="Billedtekst"/>
        <w:ind w:left="1304"/>
      </w:pPr>
      <w:bookmarkStart w:id="32" w:name="_Ref400372911"/>
      <w:bookmarkStart w:id="33" w:name="_Ref400372853"/>
      <w:bookmarkStart w:id="34" w:name="_Toc414519479"/>
      <w:r>
        <w:t xml:space="preserve">Tabel </w:t>
      </w:r>
      <w:fldSimple w:instr=" SEQ Tabel \* ARABIC ">
        <w:r w:rsidR="0017261E">
          <w:rPr>
            <w:noProof/>
          </w:rPr>
          <w:t>8</w:t>
        </w:r>
      </w:fldSimple>
      <w:bookmarkEnd w:id="32"/>
      <w:r>
        <w:t>: Enhedsbeløb for Praktisk Hjælp, Personlig Pleje og Sygepleje for 201</w:t>
      </w:r>
      <w:r w:rsidR="005F4EB0">
        <w:t>4</w:t>
      </w:r>
      <w:r>
        <w:t>.</w:t>
      </w:r>
      <w:bookmarkEnd w:id="33"/>
      <w:bookmarkEnd w:id="34"/>
    </w:p>
    <w:p w:rsidR="00F335D4" w:rsidRDefault="004462B8" w:rsidP="004462B8">
      <w:pPr>
        <w:jc w:val="right"/>
      </w:pPr>
      <w:r w:rsidRPr="004462B8">
        <w:rPr>
          <w:noProof/>
        </w:rPr>
        <w:drawing>
          <wp:inline distT="0" distB="0" distL="0" distR="0">
            <wp:extent cx="8886825" cy="4867275"/>
            <wp:effectExtent l="19050" t="0" r="9525" b="0"/>
            <wp:docPr id="41" name="Bille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srcRect/>
                    <a:stretch>
                      <a:fillRect/>
                    </a:stretch>
                  </pic:blipFill>
                  <pic:spPr bwMode="auto">
                    <a:xfrm>
                      <a:off x="0" y="0"/>
                      <a:ext cx="8886825" cy="4867275"/>
                    </a:xfrm>
                    <a:prstGeom prst="rect">
                      <a:avLst/>
                    </a:prstGeom>
                    <a:noFill/>
                    <a:ln w="9525">
                      <a:noFill/>
                      <a:miter lim="800000"/>
                      <a:headEnd/>
                      <a:tailEnd/>
                    </a:ln>
                  </pic:spPr>
                </pic:pic>
              </a:graphicData>
            </a:graphic>
          </wp:inline>
        </w:drawing>
      </w:r>
    </w:p>
    <w:p w:rsidR="00F335D4" w:rsidRDefault="00F335D4" w:rsidP="00F335D4">
      <w:pPr>
        <w:sectPr w:rsidR="00F335D4" w:rsidSect="00473D24">
          <w:pgSz w:w="16838" w:h="11906" w:orient="landscape" w:code="9"/>
          <w:pgMar w:top="1701" w:right="2041" w:bottom="1701" w:left="323" w:header="709" w:footer="284" w:gutter="0"/>
          <w:cols w:space="708"/>
          <w:docGrid w:linePitch="360"/>
        </w:sectPr>
      </w:pPr>
    </w:p>
    <w:p w:rsidR="00F335D4" w:rsidRPr="001F638E" w:rsidRDefault="00F335D4" w:rsidP="00F335D4">
      <w:pPr>
        <w:pStyle w:val="Overskrift2"/>
        <w:rPr>
          <w:sz w:val="22"/>
          <w:szCs w:val="22"/>
        </w:rPr>
      </w:pPr>
      <w:bookmarkStart w:id="35" w:name="_Toc414960276"/>
      <w:r w:rsidRPr="001F638E">
        <w:rPr>
          <w:sz w:val="22"/>
          <w:szCs w:val="22"/>
        </w:rPr>
        <w:lastRenderedPageBreak/>
        <w:t>Samlede udgifter i hjemmeplejen 2014-2020</w:t>
      </w:r>
      <w:bookmarkEnd w:id="35"/>
    </w:p>
    <w:p w:rsidR="00F335D4" w:rsidRDefault="00F335D4" w:rsidP="00F335D4">
      <w:r>
        <w:t xml:space="preserve">Fra Økonomisystemet PRISME er </w:t>
      </w:r>
      <w:r w:rsidR="009440AC">
        <w:t xml:space="preserve">hentet </w:t>
      </w:r>
      <w:r>
        <w:t>de samlede omkostninger til Hjemmepl</w:t>
      </w:r>
      <w:r>
        <w:t>e</w:t>
      </w:r>
      <w:r>
        <w:t>jen, herunder fordelingen på Praktisk Hjælp, Personlig Pleje samt Sygepleje. Den omstændighed gør sig gældende, at udgiften til Praktisk Hjælp og Personlig Pleje ikke er adskilt på hver sin konto. Som approksimation til udgiften er anvendt den relative fordeling af den leverede tid til disse ydelser, hvilket anses forsvarligt, idet det er de samme faggrupper, der står bag produktionen af ydelserne. Den samlede udgift deles således i forholdet; Praktisk Hjælp 1</w:t>
      </w:r>
      <w:r w:rsidR="009440AC">
        <w:t>2</w:t>
      </w:r>
      <w:r>
        <w:t>,</w:t>
      </w:r>
      <w:r w:rsidR="009440AC">
        <w:t>2 pct.,</w:t>
      </w:r>
      <w:r>
        <w:t xml:space="preserve"> Personlig Pleje 8</w:t>
      </w:r>
      <w:r w:rsidR="009440AC">
        <w:t>7</w:t>
      </w:r>
      <w:r>
        <w:t>,</w:t>
      </w:r>
      <w:r w:rsidR="009440AC">
        <w:t>7 pct.</w:t>
      </w:r>
      <w:r>
        <w:t xml:space="preserve"> På samme måde er leveret tid anvendt som nøgle til at sondre mellem </w:t>
      </w:r>
      <w:r w:rsidR="009440AC">
        <w:t>aldersgru</w:t>
      </w:r>
      <w:r w:rsidR="009440AC">
        <w:t>p</w:t>
      </w:r>
      <w:r w:rsidR="009440AC">
        <w:t xml:space="preserve">perne. </w:t>
      </w:r>
    </w:p>
    <w:p w:rsidR="00F335D4" w:rsidRPr="00F77D6C" w:rsidRDefault="00F335D4" w:rsidP="00F335D4"/>
    <w:p w:rsidR="00F335D4" w:rsidRDefault="00F335D4" w:rsidP="00F335D4">
      <w:pPr>
        <w:pStyle w:val="Billedtekst"/>
      </w:pPr>
      <w:bookmarkStart w:id="36" w:name="_Toc414519480"/>
      <w:r>
        <w:t xml:space="preserve">Tabel </w:t>
      </w:r>
      <w:fldSimple w:instr=" SEQ Tabel \* ARABIC ">
        <w:r w:rsidR="0017261E">
          <w:rPr>
            <w:noProof/>
          </w:rPr>
          <w:t>9</w:t>
        </w:r>
      </w:fldSimple>
      <w:r>
        <w:t>: Udgift til Praktisk Hjælp i 201</w:t>
      </w:r>
      <w:r w:rsidR="002F64EB">
        <w:t>4</w:t>
      </w:r>
      <w:r>
        <w:t>-priser (1000 kr.)</w:t>
      </w:r>
      <w:bookmarkEnd w:id="36"/>
    </w:p>
    <w:p w:rsidR="00F335D4" w:rsidRDefault="002F64EB" w:rsidP="00F335D4">
      <w:r w:rsidRPr="002F64EB">
        <w:rPr>
          <w:noProof/>
        </w:rPr>
        <w:drawing>
          <wp:inline distT="0" distB="0" distL="0" distR="0">
            <wp:extent cx="5400040" cy="3726570"/>
            <wp:effectExtent l="19050" t="0" r="0" b="0"/>
            <wp:docPr id="48" name="Billed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srcRect/>
                    <a:stretch>
                      <a:fillRect/>
                    </a:stretch>
                  </pic:blipFill>
                  <pic:spPr bwMode="auto">
                    <a:xfrm>
                      <a:off x="0" y="0"/>
                      <a:ext cx="5400040" cy="3726570"/>
                    </a:xfrm>
                    <a:prstGeom prst="rect">
                      <a:avLst/>
                    </a:prstGeom>
                    <a:noFill/>
                    <a:ln w="9525">
                      <a:noFill/>
                      <a:miter lim="800000"/>
                      <a:headEnd/>
                      <a:tailEnd/>
                    </a:ln>
                  </pic:spPr>
                </pic:pic>
              </a:graphicData>
            </a:graphic>
          </wp:inline>
        </w:drawing>
      </w:r>
    </w:p>
    <w:p w:rsidR="00F335D4" w:rsidRDefault="00F335D4" w:rsidP="00F335D4"/>
    <w:p w:rsidR="003D2E25" w:rsidRDefault="003D2E25">
      <w:pPr>
        <w:rPr>
          <w:b/>
          <w:bCs/>
          <w:color w:val="4F81BD" w:themeColor="accent1"/>
          <w:sz w:val="18"/>
          <w:szCs w:val="18"/>
        </w:rPr>
      </w:pPr>
      <w:r>
        <w:br w:type="page"/>
      </w:r>
    </w:p>
    <w:p w:rsidR="00F335D4" w:rsidRDefault="00F335D4" w:rsidP="00F335D4">
      <w:pPr>
        <w:pStyle w:val="Billedtekst"/>
      </w:pPr>
      <w:bookmarkStart w:id="37" w:name="_Toc414519481"/>
      <w:r>
        <w:lastRenderedPageBreak/>
        <w:t xml:space="preserve">Tabel </w:t>
      </w:r>
      <w:fldSimple w:instr=" SEQ Tabel \* ARABIC ">
        <w:r w:rsidR="0017261E">
          <w:rPr>
            <w:noProof/>
          </w:rPr>
          <w:t>10</w:t>
        </w:r>
      </w:fldSimple>
      <w:r>
        <w:t>: U</w:t>
      </w:r>
      <w:r w:rsidRPr="002A5D7D">
        <w:t>dgift til Personlig Pleje 201</w:t>
      </w:r>
      <w:r w:rsidR="002F64EB">
        <w:t>4</w:t>
      </w:r>
      <w:r w:rsidRPr="002A5D7D">
        <w:t>–</w:t>
      </w:r>
      <w:r>
        <w:t>priser</w:t>
      </w:r>
      <w:r w:rsidRPr="002A5D7D">
        <w:t xml:space="preserve"> (1000 kr.)</w:t>
      </w:r>
      <w:bookmarkEnd w:id="37"/>
    </w:p>
    <w:p w:rsidR="00F335D4" w:rsidRDefault="002F64EB" w:rsidP="00F335D4">
      <w:r w:rsidRPr="002F64EB">
        <w:rPr>
          <w:noProof/>
        </w:rPr>
        <w:drawing>
          <wp:inline distT="0" distB="0" distL="0" distR="0">
            <wp:extent cx="5400040" cy="3726570"/>
            <wp:effectExtent l="19050" t="0" r="0" b="0"/>
            <wp:docPr id="55" name="Billed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srcRect/>
                    <a:stretch>
                      <a:fillRect/>
                    </a:stretch>
                  </pic:blipFill>
                  <pic:spPr bwMode="auto">
                    <a:xfrm>
                      <a:off x="0" y="0"/>
                      <a:ext cx="5400040" cy="3726570"/>
                    </a:xfrm>
                    <a:prstGeom prst="rect">
                      <a:avLst/>
                    </a:prstGeom>
                    <a:noFill/>
                    <a:ln w="9525">
                      <a:noFill/>
                      <a:miter lim="800000"/>
                      <a:headEnd/>
                      <a:tailEnd/>
                    </a:ln>
                  </pic:spPr>
                </pic:pic>
              </a:graphicData>
            </a:graphic>
          </wp:inline>
        </w:drawing>
      </w:r>
    </w:p>
    <w:p w:rsidR="00F335D4" w:rsidRDefault="00F335D4" w:rsidP="00F335D4"/>
    <w:p w:rsidR="003D2E25" w:rsidRDefault="003D2E25" w:rsidP="00F335D4"/>
    <w:p w:rsidR="00F335D4" w:rsidRDefault="00F335D4" w:rsidP="00F335D4">
      <w:pPr>
        <w:pStyle w:val="Billedtekst"/>
      </w:pPr>
      <w:bookmarkStart w:id="38" w:name="_Toc414519482"/>
      <w:r>
        <w:t xml:space="preserve">Tabel </w:t>
      </w:r>
      <w:fldSimple w:instr=" SEQ Tabel \* ARABIC ">
        <w:r w:rsidR="0017261E">
          <w:rPr>
            <w:noProof/>
          </w:rPr>
          <w:t>11</w:t>
        </w:r>
      </w:fldSimple>
      <w:r>
        <w:t>: U</w:t>
      </w:r>
      <w:r w:rsidRPr="00167AC6">
        <w:t>dgift til Sygepleje 201</w:t>
      </w:r>
      <w:r w:rsidR="002F64EB">
        <w:t>4</w:t>
      </w:r>
      <w:r w:rsidRPr="00167AC6">
        <w:t>-</w:t>
      </w:r>
      <w:r>
        <w:t xml:space="preserve">priser </w:t>
      </w:r>
      <w:r w:rsidRPr="00167AC6">
        <w:t>(1000 kr.)</w:t>
      </w:r>
      <w:bookmarkEnd w:id="38"/>
    </w:p>
    <w:p w:rsidR="00F335D4" w:rsidRDefault="002F64EB" w:rsidP="00F335D4">
      <w:r w:rsidRPr="002F64EB">
        <w:rPr>
          <w:noProof/>
        </w:rPr>
        <w:drawing>
          <wp:inline distT="0" distB="0" distL="0" distR="0">
            <wp:extent cx="5400040" cy="3726570"/>
            <wp:effectExtent l="19050" t="0" r="0" b="0"/>
            <wp:docPr id="62" name="Bille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srcRect/>
                    <a:stretch>
                      <a:fillRect/>
                    </a:stretch>
                  </pic:blipFill>
                  <pic:spPr bwMode="auto">
                    <a:xfrm>
                      <a:off x="0" y="0"/>
                      <a:ext cx="5400040" cy="3726570"/>
                    </a:xfrm>
                    <a:prstGeom prst="rect">
                      <a:avLst/>
                    </a:prstGeom>
                    <a:noFill/>
                    <a:ln w="9525">
                      <a:noFill/>
                      <a:miter lim="800000"/>
                      <a:headEnd/>
                      <a:tailEnd/>
                    </a:ln>
                  </pic:spPr>
                </pic:pic>
              </a:graphicData>
            </a:graphic>
          </wp:inline>
        </w:drawing>
      </w:r>
    </w:p>
    <w:p w:rsidR="00F335D4" w:rsidRDefault="00F335D4" w:rsidP="00F335D4"/>
    <w:p w:rsidR="00F335D4" w:rsidRDefault="00F335D4" w:rsidP="00F335D4"/>
    <w:p w:rsidR="00F335D4" w:rsidRPr="001F638E" w:rsidRDefault="00F335D4" w:rsidP="00F335D4">
      <w:pPr>
        <w:pStyle w:val="Overskrift2"/>
        <w:rPr>
          <w:sz w:val="22"/>
          <w:szCs w:val="22"/>
        </w:rPr>
      </w:pPr>
      <w:bookmarkStart w:id="39" w:name="_Toc414960277"/>
      <w:r w:rsidRPr="001F638E">
        <w:rPr>
          <w:sz w:val="22"/>
          <w:szCs w:val="22"/>
        </w:rPr>
        <w:lastRenderedPageBreak/>
        <w:t>Kvalitet</w:t>
      </w:r>
      <w:bookmarkEnd w:id="39"/>
    </w:p>
    <w:p w:rsidR="00F335D4" w:rsidRDefault="00F335D4" w:rsidP="00F335D4">
      <w:r>
        <w:t>Kvalitetsdelen handler bredt om enten faglig effektivitet eller økonomisk effektiv</w:t>
      </w:r>
      <w:r>
        <w:t>i</w:t>
      </w:r>
      <w:r>
        <w:t>tet. Uanset om det er det ene eller det andet skal det være muligt at udtrykke ko</w:t>
      </w:r>
      <w:r>
        <w:t>n</w:t>
      </w:r>
      <w:r>
        <w:t xml:space="preserve">sekvensen i kroner af de respektive indsatser. I budgetmæssig sammenhæng skal denne kronevirkning kunne fordeles til et eller flere budgetår. Det er her business casen kan benyttes som værktøjet til at fordele virkningerne. Budgettet reguleres enten i absolutte kroner eller som procenter. </w:t>
      </w:r>
    </w:p>
    <w:p w:rsidR="00F335D4" w:rsidRDefault="00F335D4" w:rsidP="00F335D4"/>
    <w:p w:rsidR="00F335D4" w:rsidRDefault="00F335D4" w:rsidP="00F335D4">
      <w:r>
        <w:t>For kvalitetsdelen er det mest oplagt at afgrænse perioden, der ses på, til indev</w:t>
      </w:r>
      <w:r>
        <w:t>æ</w:t>
      </w:r>
      <w:r>
        <w:t xml:space="preserve">rende finansår og kommende tre </w:t>
      </w:r>
      <w:proofErr w:type="spellStart"/>
      <w:r>
        <w:t>overslagsår</w:t>
      </w:r>
      <w:proofErr w:type="spellEnd"/>
      <w:r>
        <w:t>, idet effekter rækkende ud i fjerde og femte år er højst usikre. Derudover opererer Business Cases typisk med en horisont på 1-3 år.</w:t>
      </w:r>
      <w:r w:rsidR="003D2E25">
        <w:t xml:space="preserve"> </w:t>
      </w:r>
    </w:p>
    <w:p w:rsidR="00F335D4" w:rsidRDefault="00F335D4" w:rsidP="00F335D4"/>
    <w:p w:rsidR="003D2E25" w:rsidRDefault="003D2E25" w:rsidP="00F335D4">
      <w:r>
        <w:t>Der er pt. ikke indregnet kvalitative indsatser ind i DBM.</w:t>
      </w:r>
    </w:p>
    <w:p w:rsidR="003D2E25" w:rsidRDefault="003D2E25" w:rsidP="00F335D4"/>
    <w:p w:rsidR="00F335D4" w:rsidRDefault="000B05D0" w:rsidP="00F335D4">
      <w:pPr>
        <w:pStyle w:val="Billedtekst"/>
      </w:pPr>
      <w:r>
        <w:rPr>
          <w:noProof/>
          <w:lang w:eastAsia="en-US"/>
        </w:rPr>
        <w:pict>
          <v:shape id="_x0000_s1107" type="#_x0000_t202" style="position:absolute;margin-left:2.05pt;margin-top:15.65pt;width:474.3pt;height:206.6pt;z-index:251743232;mso-width-relative:margin;mso-height-relative:margin">
            <v:textbox style="mso-next-textbox:#_x0000_s1107">
              <w:txbxContent>
                <w:tbl>
                  <w:tblPr>
                    <w:tblW w:w="9123" w:type="dxa"/>
                    <w:tblInd w:w="60" w:type="dxa"/>
                    <w:tblCellMar>
                      <w:left w:w="70" w:type="dxa"/>
                      <w:right w:w="70" w:type="dxa"/>
                    </w:tblCellMar>
                    <w:tblLook w:val="04A0"/>
                  </w:tblPr>
                  <w:tblGrid>
                    <w:gridCol w:w="787"/>
                    <w:gridCol w:w="708"/>
                    <w:gridCol w:w="700"/>
                    <w:gridCol w:w="700"/>
                    <w:gridCol w:w="700"/>
                    <w:gridCol w:w="700"/>
                    <w:gridCol w:w="700"/>
                    <w:gridCol w:w="700"/>
                    <w:gridCol w:w="700"/>
                    <w:gridCol w:w="700"/>
                    <w:gridCol w:w="700"/>
                    <w:gridCol w:w="623"/>
                    <w:gridCol w:w="705"/>
                  </w:tblGrid>
                  <w:tr w:rsidR="00220D70" w:rsidRPr="001A122D" w:rsidTr="001A122D">
                    <w:trPr>
                      <w:trHeight w:val="300"/>
                    </w:trPr>
                    <w:tc>
                      <w:tcPr>
                        <w:tcW w:w="787" w:type="dxa"/>
                        <w:tcBorders>
                          <w:top w:val="single" w:sz="8" w:space="0" w:color="auto"/>
                          <w:left w:val="single" w:sz="8" w:space="0" w:color="auto"/>
                          <w:bottom w:val="nil"/>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 </w:t>
                        </w:r>
                      </w:p>
                    </w:tc>
                    <w:tc>
                      <w:tcPr>
                        <w:tcW w:w="708" w:type="dxa"/>
                        <w:tcBorders>
                          <w:top w:val="single" w:sz="8" w:space="0" w:color="auto"/>
                          <w:left w:val="nil"/>
                          <w:bottom w:val="nil"/>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 </w:t>
                        </w:r>
                      </w:p>
                    </w:tc>
                    <w:tc>
                      <w:tcPr>
                        <w:tcW w:w="2100" w:type="dxa"/>
                        <w:gridSpan w:val="3"/>
                        <w:tcBorders>
                          <w:top w:val="single" w:sz="8" w:space="0" w:color="auto"/>
                          <w:left w:val="single" w:sz="4" w:space="0" w:color="auto"/>
                          <w:bottom w:val="single" w:sz="8" w:space="0" w:color="auto"/>
                          <w:right w:val="single" w:sz="4" w:space="0" w:color="000000"/>
                        </w:tcBorders>
                        <w:shd w:val="clear" w:color="DBE5F1"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Praktisk Hjælp</w:t>
                        </w:r>
                      </w:p>
                    </w:tc>
                    <w:tc>
                      <w:tcPr>
                        <w:tcW w:w="2100" w:type="dxa"/>
                        <w:gridSpan w:val="3"/>
                        <w:tcBorders>
                          <w:top w:val="single" w:sz="8" w:space="0" w:color="auto"/>
                          <w:left w:val="nil"/>
                          <w:bottom w:val="single" w:sz="8" w:space="0" w:color="auto"/>
                          <w:right w:val="single" w:sz="4" w:space="0" w:color="000000"/>
                        </w:tcBorders>
                        <w:shd w:val="clear" w:color="DBE5F1"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Personlig Pleje</w:t>
                        </w:r>
                      </w:p>
                    </w:tc>
                    <w:tc>
                      <w:tcPr>
                        <w:tcW w:w="2100" w:type="dxa"/>
                        <w:gridSpan w:val="3"/>
                        <w:tcBorders>
                          <w:top w:val="single" w:sz="8" w:space="0" w:color="auto"/>
                          <w:left w:val="nil"/>
                          <w:bottom w:val="single" w:sz="8" w:space="0" w:color="auto"/>
                          <w:right w:val="single" w:sz="8" w:space="0" w:color="000000"/>
                        </w:tcBorders>
                        <w:shd w:val="clear" w:color="DBE5F1"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Sygepleje</w:t>
                        </w:r>
                      </w:p>
                    </w:tc>
                    <w:tc>
                      <w:tcPr>
                        <w:tcW w:w="1328" w:type="dxa"/>
                        <w:gridSpan w:val="2"/>
                        <w:tcBorders>
                          <w:top w:val="single" w:sz="8" w:space="0" w:color="auto"/>
                          <w:left w:val="single" w:sz="4" w:space="0" w:color="auto"/>
                          <w:bottom w:val="single" w:sz="8" w:space="0" w:color="auto"/>
                          <w:right w:val="single" w:sz="8" w:space="0" w:color="000000"/>
                        </w:tcBorders>
                        <w:shd w:val="clear" w:color="DBE5F1"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Total</w:t>
                        </w:r>
                      </w:p>
                    </w:tc>
                  </w:tr>
                  <w:tr w:rsidR="00220D70" w:rsidRPr="001A122D" w:rsidTr="001A122D">
                    <w:trPr>
                      <w:trHeight w:val="492"/>
                    </w:trPr>
                    <w:tc>
                      <w:tcPr>
                        <w:tcW w:w="787" w:type="dxa"/>
                        <w:tcBorders>
                          <w:top w:val="single" w:sz="8" w:space="0" w:color="auto"/>
                          <w:left w:val="single" w:sz="8" w:space="0" w:color="auto"/>
                          <w:bottom w:val="nil"/>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 </w:t>
                        </w:r>
                      </w:p>
                    </w:tc>
                    <w:tc>
                      <w:tcPr>
                        <w:tcW w:w="708" w:type="dxa"/>
                        <w:tcBorders>
                          <w:top w:val="single" w:sz="8" w:space="0" w:color="auto"/>
                          <w:left w:val="nil"/>
                          <w:bottom w:val="nil"/>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Effekt</w:t>
                        </w:r>
                      </w:p>
                    </w:tc>
                    <w:tc>
                      <w:tcPr>
                        <w:tcW w:w="700" w:type="dxa"/>
                        <w:tcBorders>
                          <w:top w:val="nil"/>
                          <w:left w:val="single" w:sz="4" w:space="0" w:color="auto"/>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1</w:t>
                        </w:r>
                      </w:p>
                    </w:tc>
                    <w:tc>
                      <w:tcPr>
                        <w:tcW w:w="700" w:type="dxa"/>
                        <w:tcBorders>
                          <w:top w:val="nil"/>
                          <w:left w:val="nil"/>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2</w:t>
                        </w:r>
                      </w:p>
                    </w:tc>
                    <w:tc>
                      <w:tcPr>
                        <w:tcW w:w="700" w:type="dxa"/>
                        <w:tcBorders>
                          <w:top w:val="nil"/>
                          <w:left w:val="nil"/>
                          <w:bottom w:val="nil"/>
                          <w:right w:val="single" w:sz="4" w:space="0" w:color="auto"/>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3</w:t>
                        </w:r>
                      </w:p>
                    </w:tc>
                    <w:tc>
                      <w:tcPr>
                        <w:tcW w:w="700" w:type="dxa"/>
                        <w:tcBorders>
                          <w:top w:val="nil"/>
                          <w:left w:val="nil"/>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4</w:t>
                        </w:r>
                      </w:p>
                    </w:tc>
                    <w:tc>
                      <w:tcPr>
                        <w:tcW w:w="700" w:type="dxa"/>
                        <w:tcBorders>
                          <w:top w:val="nil"/>
                          <w:left w:val="nil"/>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5</w:t>
                        </w:r>
                      </w:p>
                    </w:tc>
                    <w:tc>
                      <w:tcPr>
                        <w:tcW w:w="700" w:type="dxa"/>
                        <w:tcBorders>
                          <w:top w:val="nil"/>
                          <w:left w:val="nil"/>
                          <w:bottom w:val="nil"/>
                          <w:right w:val="single" w:sz="4" w:space="0" w:color="auto"/>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6</w:t>
                        </w:r>
                      </w:p>
                    </w:tc>
                    <w:tc>
                      <w:tcPr>
                        <w:tcW w:w="700" w:type="dxa"/>
                        <w:tcBorders>
                          <w:top w:val="nil"/>
                          <w:left w:val="nil"/>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7</w:t>
                        </w:r>
                      </w:p>
                    </w:tc>
                    <w:tc>
                      <w:tcPr>
                        <w:tcW w:w="700" w:type="dxa"/>
                        <w:tcBorders>
                          <w:top w:val="nil"/>
                          <w:left w:val="nil"/>
                          <w:bottom w:val="nil"/>
                          <w:right w:val="nil"/>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8</w:t>
                        </w:r>
                      </w:p>
                    </w:tc>
                    <w:tc>
                      <w:tcPr>
                        <w:tcW w:w="700" w:type="dxa"/>
                        <w:tcBorders>
                          <w:top w:val="nil"/>
                          <w:left w:val="nil"/>
                          <w:bottom w:val="nil"/>
                          <w:right w:val="single" w:sz="8" w:space="0" w:color="auto"/>
                        </w:tcBorders>
                        <w:shd w:val="clear" w:color="DBE5F1" w:fill="C5D9F1"/>
                        <w:vAlign w:val="bottom"/>
                        <w:hideMark/>
                      </w:tcPr>
                      <w:p w:rsidR="00220D70" w:rsidRPr="001A122D" w:rsidRDefault="00220D70" w:rsidP="001A122D">
                        <w:pPr>
                          <w:jc w:val="center"/>
                          <w:rPr>
                            <w:rFonts w:ascii="Calibri" w:hAnsi="Calibri"/>
                            <w:color w:val="000000"/>
                            <w:sz w:val="16"/>
                            <w:szCs w:val="16"/>
                          </w:rPr>
                        </w:pPr>
                        <w:r w:rsidRPr="001A122D">
                          <w:rPr>
                            <w:rFonts w:ascii="Calibri" w:hAnsi="Calibri"/>
                            <w:color w:val="000000"/>
                            <w:sz w:val="16"/>
                            <w:szCs w:val="16"/>
                          </w:rPr>
                          <w:t>Business Case 9</w:t>
                        </w:r>
                      </w:p>
                    </w:tc>
                    <w:tc>
                      <w:tcPr>
                        <w:tcW w:w="623" w:type="dxa"/>
                        <w:tcBorders>
                          <w:top w:val="nil"/>
                          <w:left w:val="nil"/>
                          <w:bottom w:val="single" w:sz="4" w:space="0" w:color="auto"/>
                          <w:right w:val="nil"/>
                        </w:tcBorders>
                        <w:shd w:val="clear" w:color="000000" w:fill="FFFFFF"/>
                        <w:vAlign w:val="center"/>
                        <w:hideMark/>
                      </w:tcPr>
                      <w:p w:rsidR="00220D70" w:rsidRPr="001A122D" w:rsidRDefault="00220D70" w:rsidP="001A122D">
                        <w:pPr>
                          <w:jc w:val="center"/>
                          <w:rPr>
                            <w:rFonts w:ascii="Calibri" w:hAnsi="Calibri"/>
                            <w:b/>
                            <w:bCs/>
                            <w:color w:val="000000"/>
                            <w:sz w:val="16"/>
                            <w:szCs w:val="16"/>
                          </w:rPr>
                        </w:pPr>
                        <w:r w:rsidRPr="001A122D">
                          <w:rPr>
                            <w:rFonts w:ascii="Calibri" w:hAnsi="Calibri"/>
                            <w:b/>
                            <w:bCs/>
                            <w:color w:val="000000"/>
                            <w:sz w:val="16"/>
                            <w:szCs w:val="16"/>
                          </w:rPr>
                          <w:t>Total kr.</w:t>
                        </w:r>
                      </w:p>
                    </w:tc>
                    <w:tc>
                      <w:tcPr>
                        <w:tcW w:w="705" w:type="dxa"/>
                        <w:tcBorders>
                          <w:top w:val="single" w:sz="4" w:space="0" w:color="auto"/>
                          <w:left w:val="single" w:sz="8" w:space="0" w:color="auto"/>
                          <w:bottom w:val="single" w:sz="8" w:space="0" w:color="auto"/>
                          <w:right w:val="single" w:sz="8" w:space="0" w:color="auto"/>
                        </w:tcBorders>
                        <w:shd w:val="clear" w:color="000000" w:fill="C5D9F1"/>
                        <w:vAlign w:val="center"/>
                        <w:hideMark/>
                      </w:tcPr>
                      <w:p w:rsidR="00220D70" w:rsidRPr="001A122D" w:rsidRDefault="00220D70" w:rsidP="001A122D">
                        <w:pPr>
                          <w:jc w:val="center"/>
                          <w:rPr>
                            <w:rFonts w:ascii="Calibri" w:hAnsi="Calibri"/>
                            <w:b/>
                            <w:bCs/>
                            <w:color w:val="000000"/>
                            <w:sz w:val="16"/>
                            <w:szCs w:val="16"/>
                          </w:rPr>
                        </w:pPr>
                        <w:r w:rsidRPr="001A122D">
                          <w:rPr>
                            <w:rFonts w:ascii="Calibri" w:hAnsi="Calibri"/>
                            <w:b/>
                            <w:bCs/>
                            <w:color w:val="000000"/>
                            <w:sz w:val="16"/>
                            <w:szCs w:val="16"/>
                          </w:rPr>
                          <w:t>Procent</w:t>
                        </w:r>
                      </w:p>
                    </w:tc>
                  </w:tr>
                  <w:tr w:rsidR="00220D70" w:rsidRPr="001A122D" w:rsidTr="001A122D">
                    <w:trPr>
                      <w:trHeight w:val="288"/>
                    </w:trPr>
                    <w:tc>
                      <w:tcPr>
                        <w:tcW w:w="787" w:type="dxa"/>
                        <w:vMerge w:val="restart"/>
                        <w:tcBorders>
                          <w:top w:val="single" w:sz="4" w:space="0" w:color="auto"/>
                          <w:left w:val="single" w:sz="8" w:space="0" w:color="auto"/>
                          <w:bottom w:val="single" w:sz="4" w:space="0" w:color="000000"/>
                          <w:right w:val="single" w:sz="4" w:space="0" w:color="auto"/>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2014</w:t>
                        </w:r>
                      </w:p>
                    </w:tc>
                    <w:tc>
                      <w:tcPr>
                        <w:tcW w:w="708" w:type="dxa"/>
                        <w:tcBorders>
                          <w:top w:val="single" w:sz="4" w:space="0" w:color="auto"/>
                          <w:left w:val="nil"/>
                          <w:bottom w:val="nil"/>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kroner</w:t>
                        </w:r>
                      </w:p>
                    </w:tc>
                    <w:tc>
                      <w:tcPr>
                        <w:tcW w:w="700" w:type="dxa"/>
                        <w:tcBorders>
                          <w:top w:val="single" w:sz="4" w:space="0" w:color="auto"/>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single" w:sz="4" w:space="0" w:color="auto"/>
                          <w:left w:val="single" w:sz="4" w:space="0" w:color="auto"/>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tcBorders>
                          <w:top w:val="single" w:sz="4" w:space="0" w:color="auto"/>
                          <w:left w:val="single" w:sz="8" w:space="0" w:color="auto"/>
                          <w:bottom w:val="single" w:sz="4" w:space="0" w:color="000000"/>
                          <w:right w:val="single" w:sz="4" w:space="0" w:color="auto"/>
                        </w:tcBorders>
                        <w:vAlign w:val="center"/>
                        <w:hideMark/>
                      </w:tcPr>
                      <w:p w:rsidR="00220D70" w:rsidRPr="001A122D" w:rsidRDefault="00220D70" w:rsidP="001A122D">
                        <w:pPr>
                          <w:rPr>
                            <w:rFonts w:ascii="Calibri" w:hAnsi="Calibri"/>
                            <w:color w:val="000000"/>
                          </w:rPr>
                        </w:pPr>
                      </w:p>
                    </w:tc>
                    <w:tc>
                      <w:tcPr>
                        <w:tcW w:w="708" w:type="dxa"/>
                        <w:tcBorders>
                          <w:top w:val="nil"/>
                          <w:left w:val="nil"/>
                          <w:bottom w:val="single" w:sz="4" w:space="0" w:color="auto"/>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8"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val="restart"/>
                        <w:tcBorders>
                          <w:top w:val="nil"/>
                          <w:left w:val="single" w:sz="8" w:space="0" w:color="auto"/>
                          <w:bottom w:val="single" w:sz="4" w:space="0" w:color="000000"/>
                          <w:right w:val="single" w:sz="4" w:space="0" w:color="auto"/>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2015</w:t>
                        </w:r>
                      </w:p>
                    </w:tc>
                    <w:tc>
                      <w:tcPr>
                        <w:tcW w:w="708" w:type="dxa"/>
                        <w:tcBorders>
                          <w:top w:val="nil"/>
                          <w:left w:val="nil"/>
                          <w:bottom w:val="nil"/>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kroner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tcBorders>
                          <w:top w:val="nil"/>
                          <w:left w:val="single" w:sz="8" w:space="0" w:color="auto"/>
                          <w:bottom w:val="single" w:sz="4" w:space="0" w:color="000000"/>
                          <w:right w:val="single" w:sz="4" w:space="0" w:color="auto"/>
                        </w:tcBorders>
                        <w:vAlign w:val="center"/>
                        <w:hideMark/>
                      </w:tcPr>
                      <w:p w:rsidR="00220D70" w:rsidRPr="001A122D" w:rsidRDefault="00220D70" w:rsidP="001A122D">
                        <w:pPr>
                          <w:rPr>
                            <w:rFonts w:ascii="Calibri" w:hAnsi="Calibri"/>
                            <w:color w:val="000000"/>
                          </w:rPr>
                        </w:pPr>
                      </w:p>
                    </w:tc>
                    <w:tc>
                      <w:tcPr>
                        <w:tcW w:w="708" w:type="dxa"/>
                        <w:tcBorders>
                          <w:top w:val="nil"/>
                          <w:left w:val="nil"/>
                          <w:bottom w:val="single" w:sz="4" w:space="0" w:color="auto"/>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8"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val="restart"/>
                        <w:tcBorders>
                          <w:top w:val="nil"/>
                          <w:left w:val="single" w:sz="8" w:space="0" w:color="auto"/>
                          <w:bottom w:val="single" w:sz="4" w:space="0" w:color="000000"/>
                          <w:right w:val="single" w:sz="4" w:space="0" w:color="auto"/>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2016</w:t>
                        </w:r>
                      </w:p>
                    </w:tc>
                    <w:tc>
                      <w:tcPr>
                        <w:tcW w:w="708" w:type="dxa"/>
                        <w:tcBorders>
                          <w:top w:val="nil"/>
                          <w:left w:val="nil"/>
                          <w:bottom w:val="nil"/>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kroner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tcBorders>
                          <w:top w:val="nil"/>
                          <w:left w:val="single" w:sz="8" w:space="0" w:color="auto"/>
                          <w:bottom w:val="single" w:sz="4" w:space="0" w:color="000000"/>
                          <w:right w:val="single" w:sz="4" w:space="0" w:color="auto"/>
                        </w:tcBorders>
                        <w:vAlign w:val="center"/>
                        <w:hideMark/>
                      </w:tcPr>
                      <w:p w:rsidR="00220D70" w:rsidRPr="001A122D" w:rsidRDefault="00220D70" w:rsidP="001A122D">
                        <w:pPr>
                          <w:rPr>
                            <w:rFonts w:ascii="Calibri" w:hAnsi="Calibri"/>
                            <w:color w:val="000000"/>
                          </w:rPr>
                        </w:pPr>
                      </w:p>
                    </w:tc>
                    <w:tc>
                      <w:tcPr>
                        <w:tcW w:w="708" w:type="dxa"/>
                        <w:tcBorders>
                          <w:top w:val="nil"/>
                          <w:left w:val="nil"/>
                          <w:bottom w:val="single" w:sz="4" w:space="0" w:color="auto"/>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4" w:space="0" w:color="auto"/>
                          <w:right w:val="single" w:sz="8"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787" w:type="dxa"/>
                        <w:vMerge w:val="restart"/>
                        <w:tcBorders>
                          <w:top w:val="nil"/>
                          <w:left w:val="single" w:sz="8" w:space="0" w:color="auto"/>
                          <w:bottom w:val="single" w:sz="8" w:space="0" w:color="000000"/>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2017</w:t>
                        </w:r>
                      </w:p>
                    </w:tc>
                    <w:tc>
                      <w:tcPr>
                        <w:tcW w:w="708" w:type="dxa"/>
                        <w:tcBorders>
                          <w:top w:val="nil"/>
                          <w:left w:val="single" w:sz="4" w:space="0" w:color="auto"/>
                          <w:bottom w:val="nil"/>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kroner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4"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nil"/>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700" w:type="dxa"/>
                        <w:tcBorders>
                          <w:top w:val="nil"/>
                          <w:left w:val="single" w:sz="4" w:space="0" w:color="auto"/>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kr.</w:t>
                        </w:r>
                      </w:p>
                    </w:tc>
                    <w:tc>
                      <w:tcPr>
                        <w:tcW w:w="623" w:type="dxa"/>
                        <w:tcBorders>
                          <w:top w:val="nil"/>
                          <w:left w:val="single" w:sz="4" w:space="0" w:color="auto"/>
                          <w:bottom w:val="nil"/>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nil"/>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300"/>
                    </w:trPr>
                    <w:tc>
                      <w:tcPr>
                        <w:tcW w:w="787" w:type="dxa"/>
                        <w:vMerge/>
                        <w:tcBorders>
                          <w:top w:val="nil"/>
                          <w:left w:val="single" w:sz="8" w:space="0" w:color="auto"/>
                          <w:bottom w:val="single" w:sz="8" w:space="0" w:color="000000"/>
                          <w:right w:val="nil"/>
                        </w:tcBorders>
                        <w:vAlign w:val="center"/>
                        <w:hideMark/>
                      </w:tcPr>
                      <w:p w:rsidR="00220D70" w:rsidRPr="001A122D" w:rsidRDefault="00220D70" w:rsidP="001A122D">
                        <w:pPr>
                          <w:rPr>
                            <w:rFonts w:ascii="Calibri" w:hAnsi="Calibri"/>
                            <w:color w:val="000000"/>
                          </w:rPr>
                        </w:pPr>
                      </w:p>
                    </w:tc>
                    <w:tc>
                      <w:tcPr>
                        <w:tcW w:w="708" w:type="dxa"/>
                        <w:tcBorders>
                          <w:top w:val="nil"/>
                          <w:left w:val="single" w:sz="4" w:space="0" w:color="auto"/>
                          <w:bottom w:val="single" w:sz="8" w:space="0" w:color="auto"/>
                          <w:right w:val="nil"/>
                        </w:tcBorders>
                        <w:shd w:val="clear" w:color="auto" w:fill="auto"/>
                        <w:vAlign w:val="center"/>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single" w:sz="4"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nil"/>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nil"/>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700" w:type="dxa"/>
                        <w:tcBorders>
                          <w:top w:val="nil"/>
                          <w:left w:val="single" w:sz="4" w:space="0" w:color="auto"/>
                          <w:bottom w:val="single" w:sz="8" w:space="0" w:color="auto"/>
                          <w:right w:val="single" w:sz="8" w:space="0" w:color="auto"/>
                        </w:tcBorders>
                        <w:shd w:val="clear" w:color="000000" w:fill="DBE5F1"/>
                        <w:noWrap/>
                        <w:vAlign w:val="bottom"/>
                        <w:hideMark/>
                      </w:tcPr>
                      <w:p w:rsidR="00220D70" w:rsidRPr="001A122D" w:rsidRDefault="00220D70" w:rsidP="001A122D">
                        <w:pPr>
                          <w:jc w:val="center"/>
                          <w:rPr>
                            <w:rFonts w:ascii="Calibri" w:hAnsi="Calibri"/>
                            <w:color w:val="000000"/>
                          </w:rPr>
                        </w:pPr>
                        <w:r w:rsidRPr="001A122D">
                          <w:rPr>
                            <w:rFonts w:ascii="Calibri" w:hAnsi="Calibri"/>
                            <w:color w:val="000000"/>
                          </w:rPr>
                          <w:t>%</w:t>
                        </w:r>
                      </w:p>
                    </w:tc>
                    <w:tc>
                      <w:tcPr>
                        <w:tcW w:w="623" w:type="dxa"/>
                        <w:tcBorders>
                          <w:top w:val="nil"/>
                          <w:left w:val="single" w:sz="4" w:space="0" w:color="auto"/>
                          <w:bottom w:val="single" w:sz="8" w:space="0" w:color="auto"/>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single" w:sz="8" w:space="0" w:color="auto"/>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288"/>
                    </w:trPr>
                    <w:tc>
                      <w:tcPr>
                        <w:tcW w:w="1495" w:type="dxa"/>
                        <w:gridSpan w:val="2"/>
                        <w:tcBorders>
                          <w:top w:val="nil"/>
                          <w:left w:val="single" w:sz="8" w:space="0" w:color="auto"/>
                          <w:bottom w:val="single" w:sz="4" w:space="0" w:color="auto"/>
                          <w:right w:val="nil"/>
                        </w:tcBorders>
                        <w:shd w:val="clear" w:color="000000" w:fill="FFFFFF"/>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Total 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nil"/>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0" w:type="dxa"/>
                        <w:tcBorders>
                          <w:top w:val="nil"/>
                          <w:left w:val="single" w:sz="4" w:space="0" w:color="auto"/>
                          <w:bottom w:val="single" w:sz="4" w:space="0" w:color="auto"/>
                          <w:right w:val="single" w:sz="8" w:space="0" w:color="auto"/>
                        </w:tcBorders>
                        <w:shd w:val="clear" w:color="000000" w:fill="FFFFFF"/>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623" w:type="dxa"/>
                        <w:tcBorders>
                          <w:top w:val="nil"/>
                          <w:left w:val="nil"/>
                          <w:bottom w:val="single" w:sz="4" w:space="0" w:color="auto"/>
                          <w:right w:val="nil"/>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kr.</w:t>
                        </w:r>
                      </w:p>
                    </w:tc>
                    <w:tc>
                      <w:tcPr>
                        <w:tcW w:w="705" w:type="dxa"/>
                        <w:tcBorders>
                          <w:top w:val="nil"/>
                          <w:left w:val="nil"/>
                          <w:bottom w:val="single" w:sz="4" w:space="0" w:color="auto"/>
                          <w:right w:val="single" w:sz="8" w:space="0" w:color="auto"/>
                        </w:tcBorders>
                        <w:shd w:val="clear" w:color="auto" w:fill="auto"/>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r>
                  <w:tr w:rsidR="00220D70" w:rsidRPr="001A122D" w:rsidTr="001A122D">
                    <w:trPr>
                      <w:trHeight w:val="300"/>
                    </w:trPr>
                    <w:tc>
                      <w:tcPr>
                        <w:tcW w:w="787" w:type="dxa"/>
                        <w:tcBorders>
                          <w:top w:val="nil"/>
                          <w:left w:val="single" w:sz="8" w:space="0" w:color="auto"/>
                          <w:bottom w:val="single" w:sz="8" w:space="0" w:color="auto"/>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Procent</w:t>
                        </w:r>
                      </w:p>
                    </w:tc>
                    <w:tc>
                      <w:tcPr>
                        <w:tcW w:w="708" w:type="dxa"/>
                        <w:tcBorders>
                          <w:top w:val="nil"/>
                          <w:left w:val="nil"/>
                          <w:bottom w:val="single" w:sz="8" w:space="0" w:color="auto"/>
                          <w:right w:val="nil"/>
                        </w:tcBorders>
                        <w:shd w:val="clear" w:color="000000" w:fill="C5D9F1"/>
                        <w:noWrap/>
                        <w:vAlign w:val="bottom"/>
                        <w:hideMark/>
                      </w:tcPr>
                      <w:p w:rsidR="00220D70" w:rsidRPr="001A122D" w:rsidRDefault="00220D70" w:rsidP="001A122D">
                        <w:pPr>
                          <w:rPr>
                            <w:rFonts w:ascii="Calibri" w:hAnsi="Calibri"/>
                            <w:b/>
                            <w:bCs/>
                            <w:color w:val="000000"/>
                          </w:rPr>
                        </w:pPr>
                        <w:r w:rsidRPr="001A122D">
                          <w:rPr>
                            <w:rFonts w:ascii="Calibri" w:hAnsi="Calibri"/>
                            <w:b/>
                            <w:bCs/>
                            <w:color w:val="000000"/>
                          </w:rPr>
                          <w:t> </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700" w:type="dxa"/>
                        <w:tcBorders>
                          <w:top w:val="nil"/>
                          <w:left w:val="nil"/>
                          <w:bottom w:val="single" w:sz="8" w:space="0" w:color="auto"/>
                          <w:right w:val="single" w:sz="8" w:space="0" w:color="auto"/>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w:t>
                        </w:r>
                      </w:p>
                    </w:tc>
                    <w:tc>
                      <w:tcPr>
                        <w:tcW w:w="623" w:type="dxa"/>
                        <w:tcBorders>
                          <w:top w:val="nil"/>
                          <w:left w:val="nil"/>
                          <w:bottom w:val="single" w:sz="8" w:space="0" w:color="auto"/>
                          <w:right w:val="nil"/>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 </w:t>
                        </w:r>
                      </w:p>
                    </w:tc>
                    <w:tc>
                      <w:tcPr>
                        <w:tcW w:w="705" w:type="dxa"/>
                        <w:tcBorders>
                          <w:top w:val="nil"/>
                          <w:left w:val="nil"/>
                          <w:bottom w:val="single" w:sz="8" w:space="0" w:color="auto"/>
                          <w:right w:val="single" w:sz="8" w:space="0" w:color="auto"/>
                        </w:tcBorders>
                        <w:shd w:val="clear" w:color="000000" w:fill="C5D9F1"/>
                        <w:noWrap/>
                        <w:vAlign w:val="bottom"/>
                        <w:hideMark/>
                      </w:tcPr>
                      <w:p w:rsidR="00220D70" w:rsidRPr="001A122D" w:rsidRDefault="00220D70" w:rsidP="001A122D">
                        <w:pPr>
                          <w:jc w:val="center"/>
                          <w:rPr>
                            <w:rFonts w:ascii="Calibri" w:hAnsi="Calibri"/>
                            <w:b/>
                            <w:bCs/>
                            <w:color w:val="000000"/>
                          </w:rPr>
                        </w:pPr>
                        <w:r w:rsidRPr="001A122D">
                          <w:rPr>
                            <w:rFonts w:ascii="Calibri" w:hAnsi="Calibri"/>
                            <w:b/>
                            <w:bCs/>
                            <w:color w:val="000000"/>
                          </w:rPr>
                          <w:t> </w:t>
                        </w:r>
                      </w:p>
                    </w:tc>
                  </w:tr>
                </w:tbl>
                <w:p w:rsidR="00220D70" w:rsidRDefault="00220D70" w:rsidP="00F335D4"/>
              </w:txbxContent>
            </v:textbox>
          </v:shape>
        </w:pict>
      </w:r>
      <w:bookmarkStart w:id="40" w:name="_Toc414519483"/>
      <w:r w:rsidR="00F335D4">
        <w:t xml:space="preserve">Tabel </w:t>
      </w:r>
      <w:fldSimple w:instr=" SEQ Tabel \* ARABIC ">
        <w:r w:rsidR="0017261E">
          <w:rPr>
            <w:noProof/>
          </w:rPr>
          <w:t>12</w:t>
        </w:r>
      </w:fldSimple>
      <w:r w:rsidR="00F335D4">
        <w:t>: Økonomisk effekt af kvalitative indsatser</w:t>
      </w:r>
      <w:bookmarkEnd w:id="40"/>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Pr="001F638E" w:rsidRDefault="00F335D4" w:rsidP="00F335D4">
      <w:pPr>
        <w:pStyle w:val="Overskrift2"/>
        <w:rPr>
          <w:sz w:val="22"/>
          <w:szCs w:val="22"/>
        </w:rPr>
      </w:pPr>
      <w:bookmarkStart w:id="41" w:name="_Toc414960278"/>
      <w:r w:rsidRPr="001F638E">
        <w:rPr>
          <w:sz w:val="22"/>
          <w:szCs w:val="22"/>
        </w:rPr>
        <w:t>Demografi- og Budgetmodel for Hjemmeplejen</w:t>
      </w:r>
      <w:bookmarkEnd w:id="41"/>
    </w:p>
    <w:p w:rsidR="003D2E25" w:rsidRDefault="00F335D4" w:rsidP="00F335D4">
      <w:r>
        <w:t>Valg af basisår bestemmer de enhedsbeløb, der udgør de faste priser i modellen som de øvrige budgetår baseres på. Basisåret skal derfor vælges med omhu. Alte</w:t>
      </w:r>
      <w:r>
        <w:t>r</w:t>
      </w:r>
      <w:r>
        <w:t>nativet er, at vælge basisår lig seneste budget og derefter anvende modellen til at kalkulere netto-ændringer i de fremadrettede budgetter</w:t>
      </w:r>
      <w:r>
        <w:rPr>
          <w:rStyle w:val="Fodnotehenvisning"/>
        </w:rPr>
        <w:footnoteReference w:id="6"/>
      </w:r>
      <w:r>
        <w:t xml:space="preserve">. </w:t>
      </w:r>
      <w:r w:rsidR="003D2E25">
        <w:t xml:space="preserve">Med faste </w:t>
      </w:r>
      <w:proofErr w:type="spellStart"/>
      <w:r w:rsidR="003D2E25">
        <w:t>årsintervaller</w:t>
      </w:r>
      <w:proofErr w:type="spellEnd"/>
      <w:r w:rsidR="003D2E25">
        <w:t xml:space="preserve"> skal enhedsbeløbene </w:t>
      </w:r>
      <w:r>
        <w:t xml:space="preserve">genberegnes på grundlag af </w:t>
      </w:r>
      <w:r w:rsidR="003D2E25">
        <w:t xml:space="preserve">nye </w:t>
      </w:r>
      <w:r>
        <w:t>regnskabstal</w:t>
      </w:r>
      <w:r w:rsidR="003D2E25">
        <w:t xml:space="preserve">. </w:t>
      </w:r>
    </w:p>
    <w:p w:rsidR="003D2E25" w:rsidRDefault="003D2E25" w:rsidP="00F335D4"/>
    <w:p w:rsidR="00F335D4" w:rsidRDefault="00F335D4" w:rsidP="00F335D4">
      <w:r>
        <w:t xml:space="preserve">Sammenfattende er </w:t>
      </w:r>
      <w:r w:rsidR="003D2E25">
        <w:t xml:space="preserve">budgettrinene for Hjemmeplejen </w:t>
      </w:r>
      <w:r>
        <w:t>jf. figuren.</w:t>
      </w:r>
    </w:p>
    <w:p w:rsidR="007275DC" w:rsidRDefault="007275DC" w:rsidP="00F335D4"/>
    <w:p w:rsidR="00F335D4" w:rsidRDefault="000B05D0" w:rsidP="00F335D4">
      <w:pPr>
        <w:pStyle w:val="Billedtekst"/>
      </w:pPr>
      <w:r>
        <w:rPr>
          <w:noProof/>
        </w:rPr>
        <w:pict>
          <v:shape id="_x0000_s1108" type="#_x0000_t202" style="position:absolute;margin-left:2.75pt;margin-top:12.9pt;width:416.75pt;height:133.25pt;z-index:251744256;mso-width-relative:margin;mso-height-relative:margin">
            <v:textbox style="mso-next-textbox:#_x0000_s1108">
              <w:txbxContent>
                <w:p w:rsidR="00220D70" w:rsidRDefault="00220D70" w:rsidP="00F335D4">
                  <w:r w:rsidRPr="001776E5">
                    <w:rPr>
                      <w:noProof/>
                    </w:rPr>
                    <w:drawing>
                      <wp:inline distT="0" distB="0" distL="0" distR="0">
                        <wp:extent cx="4982845" cy="1800225"/>
                        <wp:effectExtent l="19050" t="0" r="8255" b="0"/>
                        <wp:docPr id="20"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txbxContent>
            </v:textbox>
          </v:shape>
        </w:pict>
      </w:r>
      <w:bookmarkStart w:id="42" w:name="_Toc414519463"/>
      <w:r w:rsidR="00F335D4">
        <w:t xml:space="preserve">Figur </w:t>
      </w:r>
      <w:fldSimple w:instr=" SEQ Figur \* ARABIC ">
        <w:r w:rsidR="00B6715E">
          <w:rPr>
            <w:noProof/>
          </w:rPr>
          <w:t>4</w:t>
        </w:r>
      </w:fldSimple>
      <w:r w:rsidR="00F335D4">
        <w:t>: Beregning af budget til Hjemmeplejen</w:t>
      </w:r>
      <w:bookmarkEnd w:id="42"/>
    </w:p>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p w:rsidR="00F335D4" w:rsidRDefault="00F335D4" w:rsidP="00F335D4">
      <w:r>
        <w:br w:type="page"/>
      </w:r>
    </w:p>
    <w:p w:rsidR="00091781" w:rsidRPr="001F638E" w:rsidRDefault="00091781" w:rsidP="00091781">
      <w:pPr>
        <w:pStyle w:val="Overskrift1"/>
        <w:rPr>
          <w:sz w:val="22"/>
          <w:szCs w:val="22"/>
        </w:rPr>
      </w:pPr>
      <w:bookmarkStart w:id="43" w:name="_Toc414960279"/>
      <w:r w:rsidRPr="001F638E">
        <w:rPr>
          <w:sz w:val="22"/>
          <w:szCs w:val="22"/>
        </w:rPr>
        <w:lastRenderedPageBreak/>
        <w:t>Plejeboliger</w:t>
      </w:r>
      <w:bookmarkEnd w:id="43"/>
    </w:p>
    <w:p w:rsidR="00186E32" w:rsidRDefault="00186E32" w:rsidP="00186E32">
      <w:r>
        <w:t xml:space="preserve">Det er fra </w:t>
      </w:r>
      <w:r w:rsidR="00FE7258">
        <w:t xml:space="preserve">borgere i </w:t>
      </w:r>
      <w:r>
        <w:t xml:space="preserve">privat bolig, at efterspørgslen </w:t>
      </w:r>
      <w:r w:rsidR="003269F7">
        <w:t xml:space="preserve">efter plejeboliger </w:t>
      </w:r>
      <w:r>
        <w:t xml:space="preserve">væsentligst kommer. I meget lidt omfang fra </w:t>
      </w:r>
      <w:r w:rsidR="00E435D0">
        <w:t xml:space="preserve">borgere på </w:t>
      </w:r>
      <w:r>
        <w:t>sygehus</w:t>
      </w:r>
      <w:r w:rsidR="00E435D0">
        <w:t xml:space="preserve">, men </w:t>
      </w:r>
      <w:r>
        <w:t xml:space="preserve">i nogen grad fra </w:t>
      </w:r>
      <w:r w:rsidR="00E435D0">
        <w:t xml:space="preserve">borgere på </w:t>
      </w:r>
      <w:r>
        <w:t>døgnplads. Ballerup har en potentiel mulighed for at påvirke strømmen af borg</w:t>
      </w:r>
      <w:r>
        <w:t>e</w:t>
      </w:r>
      <w:r>
        <w:t>re fra privat bolig til plejebolig, men det forudsætter en strategi for, hvorledes bo</w:t>
      </w:r>
      <w:r>
        <w:t>r</w:t>
      </w:r>
      <w:r>
        <w:t>gernes ønske bedst muligt kan understøttes med hjælp og ydelser i hjemmet, he</w:t>
      </w:r>
      <w:r>
        <w:t>r</w:t>
      </w:r>
      <w:r>
        <w:t xml:space="preserve">under hjælp fra velfærdsteknologi og tilbud om aktivitet og social samvær. </w:t>
      </w:r>
    </w:p>
    <w:p w:rsidR="00FE7258" w:rsidRDefault="00FE7258" w:rsidP="00186E32"/>
    <w:p w:rsidR="00FE7258" w:rsidRDefault="00FE7258" w:rsidP="00FE7258">
      <w:r>
        <w:t xml:space="preserve">I </w:t>
      </w:r>
      <w:r w:rsidR="00065E19">
        <w:t xml:space="preserve">2014 </w:t>
      </w:r>
      <w:r>
        <w:t>er kapaciteten 31</w:t>
      </w:r>
      <w:r w:rsidR="00065E19">
        <w:t>2</w:t>
      </w:r>
      <w:r>
        <w:t xml:space="preserve"> boliger fordelt på kommunens 7 plejecentre. Heraf er </w:t>
      </w:r>
      <w:r w:rsidR="00065E19">
        <w:t>28</w:t>
      </w:r>
      <w:r>
        <w:t xml:space="preserve"> boliger udlejet til andre kommuner. Tilsvarende har Ballerup lejet 38 boliger i andre kommuner.</w:t>
      </w:r>
    </w:p>
    <w:p w:rsidR="00FE7258" w:rsidRPr="005F348A" w:rsidRDefault="00FE7258" w:rsidP="00FE7258"/>
    <w:p w:rsidR="00FE7258" w:rsidRDefault="00FE7258" w:rsidP="00FE7258">
      <w:r>
        <w:t xml:space="preserve">Tre forhold har betydning for efterspørgslen: </w:t>
      </w:r>
    </w:p>
    <w:p w:rsidR="00FE7258" w:rsidRDefault="00FE7258" w:rsidP="00FE7258">
      <w:pPr>
        <w:pStyle w:val="Listeafsnit"/>
        <w:numPr>
          <w:ilvl w:val="0"/>
          <w:numId w:val="4"/>
        </w:numPr>
      </w:pPr>
      <w:r>
        <w:t>Borgernes fremtidige ønsker til bolig i alderdommen</w:t>
      </w:r>
    </w:p>
    <w:p w:rsidR="00FE7258" w:rsidRDefault="00FE7258" w:rsidP="00FE7258">
      <w:pPr>
        <w:pStyle w:val="Listeafsnit"/>
        <w:numPr>
          <w:ilvl w:val="0"/>
          <w:numId w:val="4"/>
        </w:numPr>
      </w:pPr>
      <w:r>
        <w:t>Den generelle sundhedstilstand blandt ældre borgere i fremtiden</w:t>
      </w:r>
    </w:p>
    <w:p w:rsidR="00FE7258" w:rsidRDefault="00FE7258" w:rsidP="00FE7258">
      <w:pPr>
        <w:pStyle w:val="Listeafsnit"/>
        <w:numPr>
          <w:ilvl w:val="0"/>
          <w:numId w:val="4"/>
        </w:numPr>
      </w:pPr>
      <w:r>
        <w:t>Den demografiske udvikling</w:t>
      </w:r>
    </w:p>
    <w:p w:rsidR="00FE7258" w:rsidRDefault="00FE7258" w:rsidP="00FE7258"/>
    <w:p w:rsidR="00FE7258" w:rsidRDefault="00FE7258" w:rsidP="00FE7258">
      <w:pPr>
        <w:rPr>
          <w:u w:val="single"/>
        </w:rPr>
      </w:pPr>
      <w:r>
        <w:rPr>
          <w:u w:val="single"/>
        </w:rPr>
        <w:t>Borgernes fremtidige ønsker til bolig:</w:t>
      </w:r>
    </w:p>
    <w:p w:rsidR="00FE7258" w:rsidRDefault="00FE7258" w:rsidP="00FE7258">
      <w:r>
        <w:t xml:space="preserve">Flere rapporter </w:t>
      </w:r>
      <w:sdt>
        <w:sdtPr>
          <w:id w:val="362075029"/>
          <w:citation/>
        </w:sdtPr>
        <w:sdtContent>
          <w:fldSimple w:instr=" CITATION Kon07 \l 1030  ">
            <w:r>
              <w:rPr>
                <w:noProof/>
              </w:rPr>
              <w:t>(Ældresagen, 2007)</w:t>
            </w:r>
          </w:fldSimple>
        </w:sdtContent>
      </w:sdt>
      <w:r>
        <w:t>,</w:t>
      </w:r>
      <w:sdt>
        <w:sdtPr>
          <w:id w:val="362075034"/>
          <w:citation/>
        </w:sdtPr>
        <w:sdtContent>
          <w:fldSimple w:instr=" CITATION Ser07 \l 1030 ">
            <w:r>
              <w:rPr>
                <w:noProof/>
              </w:rPr>
              <w:t xml:space="preserve"> (Servicestyrelsen, 2007)</w:t>
            </w:r>
          </w:fldSimple>
        </w:sdtContent>
      </w:sdt>
      <w:r>
        <w:t xml:space="preserve"> har undersøgt ældres foretrukne boligform i alderdommen. Ældresagen konkluderede, at 67 pct. af me</w:t>
      </w:r>
      <w:r>
        <w:t>d</w:t>
      </w:r>
      <w:r>
        <w:t xml:space="preserve">lemmerne ønskede at blive boende i egen bolig. 18 pct. ville overveje at flytte til en ny og mere ældrevenlig bolig, som lige vel kunne være en almen som en ejerbolig. En beslutning om at flytte var især påvirket af tre forhold: 1) sygdom, 2) nedsat funktionsevne og 3) social ensomhed. Servicestyrelsen konkluderede, at flytning til en plejebolig skete som en helbredsmæssig nødvendighed. Ikke som en frivillig flytning. </w:t>
      </w:r>
    </w:p>
    <w:p w:rsidR="00FE7258" w:rsidRDefault="00FE7258" w:rsidP="00FE7258"/>
    <w:p w:rsidR="00FE7258" w:rsidRDefault="00FE7258" w:rsidP="00FE7258">
      <w:r>
        <w:t>Ældre, der ser flytning til en plejebolig som en realistisk mulighed, er generelt æ</w:t>
      </w:r>
      <w:r>
        <w:t>l</w:t>
      </w:r>
      <w:r>
        <w:t xml:space="preserve">dre der nærmer sig de 80 år. </w:t>
      </w:r>
    </w:p>
    <w:p w:rsidR="00FE7258" w:rsidRDefault="00FE7258" w:rsidP="00FE7258"/>
    <w:p w:rsidR="00FE7258" w:rsidRDefault="00FE7258" w:rsidP="00FE7258">
      <w:r>
        <w:t>I dette notat er det således en forudsætning, at kommunens borgere også i fremt</w:t>
      </w:r>
      <w:r>
        <w:t>i</w:t>
      </w:r>
      <w:r>
        <w:t xml:space="preserve">den har et markant ønske om ”længst muligt i eget hjem”. </w:t>
      </w:r>
    </w:p>
    <w:p w:rsidR="00FE7258" w:rsidRDefault="00FE7258" w:rsidP="00FE7258"/>
    <w:p w:rsidR="00FE7258" w:rsidRPr="00C46E8C" w:rsidRDefault="00FE7258" w:rsidP="00FE7258">
      <w:pPr>
        <w:rPr>
          <w:u w:val="single"/>
        </w:rPr>
      </w:pPr>
      <w:r>
        <w:rPr>
          <w:u w:val="single"/>
        </w:rPr>
        <w:t>Den generelle sundhedstilstand:</w:t>
      </w:r>
    </w:p>
    <w:p w:rsidR="00FE7258" w:rsidRDefault="00FE7258" w:rsidP="00FE7258">
      <w:r>
        <w:t>Borgerne lever længere.</w:t>
      </w:r>
      <w:r>
        <w:rPr>
          <w:rStyle w:val="Fodnotehenvisning"/>
          <w:rFonts w:eastAsiaTheme="majorEastAsia"/>
        </w:rPr>
        <w:footnoteReference w:id="7"/>
      </w:r>
      <w:r>
        <w:t>. Dette formodes også at gælde frem mod år 2100 jf. DREAM. Konkret er middellevetiden i Ballerup siden 2000 vokset med gennemsni</w:t>
      </w:r>
      <w:r>
        <w:t>t</w:t>
      </w:r>
      <w:r>
        <w:t>ligt 0,2 pct. om året jf. Statistikbanken.</w:t>
      </w:r>
    </w:p>
    <w:p w:rsidR="00FE7258" w:rsidRDefault="00FE7258" w:rsidP="00FE7258"/>
    <w:p w:rsidR="00FE7258" w:rsidRDefault="00FE7258" w:rsidP="00FE7258">
      <w:r>
        <w:t>Det forudsættes i notatet, at middellevetiden fortsat vil vokse med 0,2 pct. om året. Den længere levetid antages at resulterer i flere raske leveår; antallet af syge år er konstant</w:t>
      </w:r>
      <w:r>
        <w:rPr>
          <w:rStyle w:val="Fodnotehenvisning"/>
          <w:rFonts w:eastAsiaTheme="majorEastAsia"/>
        </w:rPr>
        <w:footnoteReference w:id="8"/>
      </w:r>
      <w:r>
        <w:t xml:space="preserve">. </w:t>
      </w:r>
    </w:p>
    <w:p w:rsidR="00FE7258" w:rsidRDefault="00FE7258" w:rsidP="00FE7258"/>
    <w:p w:rsidR="00FE7258" w:rsidRDefault="00FE7258" w:rsidP="00FE7258">
      <w:pPr>
        <w:rPr>
          <w:u w:val="single"/>
        </w:rPr>
      </w:pPr>
      <w:r>
        <w:rPr>
          <w:u w:val="single"/>
        </w:rPr>
        <w:t>Den demografiske udvikling:</w:t>
      </w:r>
    </w:p>
    <w:p w:rsidR="00FE7258" w:rsidRDefault="00FE7258" w:rsidP="00FE7258">
      <w:r>
        <w:t xml:space="preserve">Befolkningspyramiden vil fra 2015 og frem mod 2040 ændrer sig med en relativ overvægt til de 65+ </w:t>
      </w:r>
      <w:proofErr w:type="spellStart"/>
      <w:r>
        <w:t>årige</w:t>
      </w:r>
      <w:proofErr w:type="spellEnd"/>
      <w:r>
        <w:t>. Ændringen skyldes store årgange går på pension samt</w:t>
      </w:r>
      <w:r>
        <w:t>i</w:t>
      </w:r>
      <w:r>
        <w:t>dig med at små årgange træder ind på arbejdsmarkedet. Efterspørgslen efter ve</w:t>
      </w:r>
      <w:r>
        <w:t>l</w:t>
      </w:r>
      <w:r>
        <w:t xml:space="preserve">færdsydelser på ældreområdet vil stige markant. Ikke som følge af at udgiften pr. ældre vil stige. Det gør den ikke. Men som følge af, at de ældre stiger i antal. I 2015 er antallet af 65+ </w:t>
      </w:r>
      <w:proofErr w:type="spellStart"/>
      <w:r>
        <w:t>årige</w:t>
      </w:r>
      <w:proofErr w:type="spellEnd"/>
      <w:r>
        <w:t xml:space="preserve"> 9.796. I 2023 er tallet 9,960. En stigning på 1,6 pct. Ses alene på de 80+ </w:t>
      </w:r>
      <w:proofErr w:type="spellStart"/>
      <w:r>
        <w:t>årige</w:t>
      </w:r>
      <w:proofErr w:type="spellEnd"/>
      <w:r>
        <w:t xml:space="preserve"> er stigningen 38,7 pct. Det er især de 80+ </w:t>
      </w:r>
      <w:proofErr w:type="spellStart"/>
      <w:r>
        <w:t>årige</w:t>
      </w:r>
      <w:proofErr w:type="spellEnd"/>
      <w:r>
        <w:t>, der vil trække udgifterne op i de kommende år.</w:t>
      </w:r>
    </w:p>
    <w:p w:rsidR="00FE7258" w:rsidRDefault="00FE7258" w:rsidP="00FE7258"/>
    <w:p w:rsidR="00FE7258" w:rsidRPr="001F638E" w:rsidRDefault="00FE7258" w:rsidP="00FE7258">
      <w:pPr>
        <w:pStyle w:val="Overskrift2"/>
        <w:rPr>
          <w:sz w:val="22"/>
          <w:szCs w:val="22"/>
        </w:rPr>
      </w:pPr>
      <w:bookmarkStart w:id="44" w:name="_Toc411506552"/>
      <w:bookmarkStart w:id="45" w:name="_Toc414960280"/>
      <w:r w:rsidRPr="001F638E">
        <w:rPr>
          <w:sz w:val="22"/>
          <w:szCs w:val="22"/>
        </w:rPr>
        <w:lastRenderedPageBreak/>
        <w:t>Måling af plejeboligbehovet</w:t>
      </w:r>
      <w:bookmarkEnd w:id="44"/>
      <w:bookmarkEnd w:id="45"/>
    </w:p>
    <w:p w:rsidR="00FE7258" w:rsidRDefault="00FE7258" w:rsidP="00FE7258">
      <w:r>
        <w:t>Borgernes efterspørgsel efter plejeboliger er særligt påvirket af, om det er en ”he</w:t>
      </w:r>
      <w:r>
        <w:t>l</w:t>
      </w:r>
      <w:r>
        <w:t xml:space="preserve">bredsmæssig nødvendighed”. Det ”nødvendige” er et udpræget behov for pleje og omsorg i døgnets 24 timer. Flere analyser viser, at der er en tæt sammenhæng mellem et stort behandlings-, pleje og omsorgsbehov og den levetid, der er tilbage af livet. Økonomisk viser dette mønster sig ca. 2-3 år før død jf. </w:t>
      </w:r>
      <w:sdt>
        <w:sdtPr>
          <w:id w:val="781211"/>
          <w:citation/>
        </w:sdtPr>
        <w:sdtContent>
          <w:fldSimple w:instr=" CITATION Det091 \l 1030 ">
            <w:r>
              <w:rPr>
                <w:noProof/>
              </w:rPr>
              <w:t>(Det Økonomiske Råd, 2009)</w:t>
            </w:r>
          </w:fldSimple>
        </w:sdtContent>
      </w:sdt>
      <w:r>
        <w:t>. Andre analyser mener, at mønstret viser sig tidligere. Plejeboligbeh</w:t>
      </w:r>
      <w:r>
        <w:t>o</w:t>
      </w:r>
      <w:r>
        <w:t>vet står således i forhold til om karakteren af borgerens terminale forløb nødve</w:t>
      </w:r>
      <w:r>
        <w:t>n</w:t>
      </w:r>
      <w:r>
        <w:t xml:space="preserve">diggør et sådant boligtilbud. </w:t>
      </w:r>
    </w:p>
    <w:p w:rsidR="00FE7258" w:rsidRDefault="00FE7258" w:rsidP="00FE7258"/>
    <w:p w:rsidR="00FE7258" w:rsidRDefault="00FE7258" w:rsidP="00FE7258">
      <w:r>
        <w:t>Middellevetiden i Ballerup Kommune er 79 år. Gennemsnits alderen for ældre i pl</w:t>
      </w:r>
      <w:r>
        <w:t>e</w:t>
      </w:r>
      <w:r>
        <w:t>jeboliger og ældre visiterede borgere er 82 år. Den gennemsnitlige tid i plejebolig er 17 måneder. Dette billede understøtter, at plejeboliger i Ballerup foretrækkes i konsekvens af en helbredsmæssig nødvendighed og at det terminale forløb ge</w:t>
      </w:r>
      <w:r>
        <w:t>n</w:t>
      </w:r>
      <w:r>
        <w:t>nemsnitligt er påbegyndt.</w:t>
      </w:r>
    </w:p>
    <w:p w:rsidR="00FE7258" w:rsidRDefault="00FE7258" w:rsidP="00FE7258"/>
    <w:p w:rsidR="00FE7258" w:rsidRDefault="00FE7258" w:rsidP="00FE7258">
      <w:pPr>
        <w:pStyle w:val="Billedtekst"/>
      </w:pPr>
      <w:bookmarkStart w:id="46" w:name="_Toc411506622"/>
      <w:bookmarkStart w:id="47" w:name="_Toc414519464"/>
      <w:r>
        <w:t xml:space="preserve">Figur </w:t>
      </w:r>
      <w:fldSimple w:instr=" SEQ Figur \* ARABIC ">
        <w:r w:rsidR="00B6715E">
          <w:rPr>
            <w:noProof/>
          </w:rPr>
          <w:t>5</w:t>
        </w:r>
      </w:fldSimple>
      <w:r>
        <w:t>: Aldersfordeling i plejebolig inkl. visiterede til plejebolig</w:t>
      </w:r>
      <w:bookmarkEnd w:id="46"/>
      <w:bookmarkEnd w:id="47"/>
    </w:p>
    <w:p w:rsidR="00FE7258" w:rsidRDefault="00FE7258" w:rsidP="00FE7258">
      <w:r w:rsidRPr="00B23C0E">
        <w:rPr>
          <w:noProof/>
        </w:rPr>
        <w:drawing>
          <wp:inline distT="0" distB="0" distL="0" distR="0">
            <wp:extent cx="4211955" cy="2235200"/>
            <wp:effectExtent l="19050" t="0" r="17145" b="0"/>
            <wp:docPr id="24"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FE7258" w:rsidRDefault="00FE7258" w:rsidP="00FE7258">
      <w:pPr>
        <w:rPr>
          <w:sz w:val="18"/>
          <w:szCs w:val="18"/>
        </w:rPr>
      </w:pPr>
      <w:r w:rsidRPr="00510865">
        <w:rPr>
          <w:sz w:val="18"/>
          <w:szCs w:val="18"/>
        </w:rPr>
        <w:t>Kilde: Demografi- &amp; Budgetmodel, BALK 2015</w:t>
      </w:r>
    </w:p>
    <w:p w:rsidR="00FE7258" w:rsidRPr="00510865" w:rsidRDefault="00FE7258" w:rsidP="00FE7258">
      <w:pPr>
        <w:rPr>
          <w:sz w:val="18"/>
          <w:szCs w:val="18"/>
        </w:rPr>
      </w:pPr>
    </w:p>
    <w:p w:rsidR="00FE7258" w:rsidRPr="001F638E" w:rsidRDefault="00FE7258" w:rsidP="00FE7258">
      <w:pPr>
        <w:pStyle w:val="Overskrift2"/>
        <w:rPr>
          <w:sz w:val="22"/>
          <w:szCs w:val="22"/>
        </w:rPr>
      </w:pPr>
      <w:bookmarkStart w:id="48" w:name="_Toc411506553"/>
      <w:bookmarkStart w:id="49" w:name="_Toc414960281"/>
      <w:r w:rsidRPr="001F638E">
        <w:rPr>
          <w:sz w:val="22"/>
          <w:szCs w:val="22"/>
        </w:rPr>
        <w:t>Dækningsgraden</w:t>
      </w:r>
      <w:bookmarkEnd w:id="48"/>
      <w:bookmarkEnd w:id="49"/>
    </w:p>
    <w:p w:rsidR="00FE7258" w:rsidRDefault="00FE7258" w:rsidP="00FE7258">
      <w:r>
        <w:t xml:space="preserve">En meget anvendt metode i </w:t>
      </w:r>
      <w:r w:rsidR="00065E19">
        <w:t xml:space="preserve">danske </w:t>
      </w:r>
      <w:r>
        <w:t>kommuner til at måle om plejeboligkapaciteten er tilstrækkelig, er sammenligning af egen dækningsgrad med andre kommuners dækningsgrader</w:t>
      </w:r>
      <w:r>
        <w:rPr>
          <w:rStyle w:val="Fodnotehenvisning"/>
          <w:rFonts w:eastAsiaTheme="majorEastAsia"/>
        </w:rPr>
        <w:footnoteReference w:id="9"/>
      </w:r>
      <w:r>
        <w:t xml:space="preserve">. Metoden giver egentlig ikke svar på, hvor mange boliger der er behov for, men mere, hvordan egen kommune relativt ser ud i forhold til andre kommuner. Værdien af metoden afhænger således af, om andre kommuner udgør et troværdigt søm i væggen. </w:t>
      </w:r>
    </w:p>
    <w:p w:rsidR="00FE7258" w:rsidRDefault="00FE7258" w:rsidP="00FE7258"/>
    <w:p w:rsidR="00FE7258" w:rsidRDefault="00FE7258" w:rsidP="00FE7258">
      <w:r>
        <w:t xml:space="preserve">Sammenlignes Ballerup med de omliggende kommuner viser det, at Ballerup har en relativ god dækningsgrad jf. </w:t>
      </w:r>
      <w:r w:rsidR="000B05D0">
        <w:fldChar w:fldCharType="begin"/>
      </w:r>
      <w:r>
        <w:instrText xml:space="preserve"> REF _Ref410654570 \h </w:instrText>
      </w:r>
      <w:r w:rsidR="000B05D0">
        <w:fldChar w:fldCharType="separate"/>
      </w:r>
      <w:r>
        <w:t xml:space="preserve">Figur </w:t>
      </w:r>
      <w:r>
        <w:rPr>
          <w:noProof/>
        </w:rPr>
        <w:t>3</w:t>
      </w:r>
      <w:r>
        <w:t>: Dækningsgrader i udvalgte kommuner</w:t>
      </w:r>
      <w:r>
        <w:rPr>
          <w:noProof/>
        </w:rPr>
        <w:t xml:space="preserve"> (almene plejeboliger)</w:t>
      </w:r>
      <w:r w:rsidR="000B05D0">
        <w:fldChar w:fldCharType="end"/>
      </w:r>
      <w:r>
        <w:t>. Dækningsgraden for Ballerup er mellem 17,5 – 20,0 pct.</w:t>
      </w:r>
    </w:p>
    <w:p w:rsidR="00FE7258" w:rsidRDefault="00FE7258" w:rsidP="00FE7258"/>
    <w:p w:rsidR="00FE7258" w:rsidRDefault="00FE7258" w:rsidP="00FE7258">
      <w:r>
        <w:t>Imidlertid er der grund til stor varsomhed. Andre kommuner kan i disse år ikke a</w:t>
      </w:r>
      <w:r>
        <w:t>n</w:t>
      </w:r>
      <w:r>
        <w:t>tages at være et troværdigt søm; demografien flytter sig, borgerne lever længere og visitationspraksis er ikke nødvendigvis ens kommunerne imellem. Dertil ko</w:t>
      </w:r>
      <w:r>
        <w:t>m</w:t>
      </w:r>
      <w:r>
        <w:t>mer, at kommunernes tilpasning til den demografiske udfordring er tacklet meget forskelligt over det seneste tiår.</w:t>
      </w:r>
    </w:p>
    <w:p w:rsidR="00FE7258" w:rsidRDefault="00FE7258" w:rsidP="00FE7258">
      <w:r>
        <w:br w:type="page"/>
      </w:r>
    </w:p>
    <w:p w:rsidR="00FE7258" w:rsidRDefault="00FE7258" w:rsidP="00FE7258">
      <w:pPr>
        <w:pStyle w:val="Billedtekst"/>
      </w:pPr>
      <w:bookmarkStart w:id="50" w:name="_Ref410654587"/>
      <w:bookmarkStart w:id="51" w:name="_Ref410654570"/>
      <w:bookmarkStart w:id="52" w:name="_Toc411506623"/>
      <w:bookmarkStart w:id="53" w:name="_Toc414519465"/>
      <w:r>
        <w:lastRenderedPageBreak/>
        <w:t xml:space="preserve">Figur </w:t>
      </w:r>
      <w:fldSimple w:instr=" SEQ Figur \* ARABIC ">
        <w:r w:rsidR="00B6715E">
          <w:rPr>
            <w:noProof/>
          </w:rPr>
          <w:t>6</w:t>
        </w:r>
      </w:fldSimple>
      <w:bookmarkEnd w:id="50"/>
      <w:r>
        <w:t>: Dækningsgrader i udvalgte kommuner</w:t>
      </w:r>
      <w:r>
        <w:rPr>
          <w:noProof/>
        </w:rPr>
        <w:t xml:space="preserve"> (almene plejeboliger)</w:t>
      </w:r>
      <w:bookmarkEnd w:id="51"/>
      <w:bookmarkEnd w:id="52"/>
      <w:bookmarkEnd w:id="53"/>
    </w:p>
    <w:p w:rsidR="00FE7258" w:rsidRDefault="000B05D0" w:rsidP="00FE7258">
      <w:r>
        <w:rPr>
          <w:noProof/>
          <w:lang w:eastAsia="en-US"/>
        </w:rPr>
        <w:pict>
          <v:shape id="_x0000_s1109" type="#_x0000_t202" style="position:absolute;margin-left:1.1pt;margin-top:2pt;width:69.4pt;height:77.5pt;z-index:251746304;mso-width-relative:margin;mso-height-relative:margin">
            <v:textbox style="mso-next-textbox:#_x0000_s1109">
              <w:txbxContent>
                <w:p w:rsidR="00220D70" w:rsidRDefault="00220D70" w:rsidP="00FE7258">
                  <w:r w:rsidRPr="00F350CD">
                    <w:rPr>
                      <w:noProof/>
                    </w:rPr>
                    <w:drawing>
                      <wp:inline distT="0" distB="0" distL="0" distR="0">
                        <wp:extent cx="701101" cy="883997"/>
                        <wp:effectExtent l="19050" t="0" r="3749" b="0"/>
                        <wp:docPr id="22" name="Billede 6" descr="Udklip_ska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dklip_skala.PNG"/>
                                <pic:cNvPicPr/>
                              </pic:nvPicPr>
                              <pic:blipFill>
                                <a:blip r:embed="rId28"/>
                                <a:stretch>
                                  <a:fillRect/>
                                </a:stretch>
                              </pic:blipFill>
                              <pic:spPr>
                                <a:xfrm>
                                  <a:off x="0" y="0"/>
                                  <a:ext cx="701101" cy="883997"/>
                                </a:xfrm>
                                <a:prstGeom prst="rect">
                                  <a:avLst/>
                                </a:prstGeom>
                              </pic:spPr>
                            </pic:pic>
                          </a:graphicData>
                        </a:graphic>
                      </wp:inline>
                    </w:drawing>
                  </w:r>
                </w:p>
              </w:txbxContent>
            </v:textbox>
          </v:shape>
        </w:pict>
      </w:r>
      <w:r w:rsidR="00FE7258">
        <w:rPr>
          <w:noProof/>
        </w:rPr>
        <w:drawing>
          <wp:inline distT="0" distB="0" distL="0" distR="0">
            <wp:extent cx="4420870" cy="3740736"/>
            <wp:effectExtent l="19050" t="19050" r="17780" b="12114"/>
            <wp:docPr id="25" name="Billede 10" descr="Udklip_hovedstad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dklip_hovedstaden.PNG"/>
                    <pic:cNvPicPr/>
                  </pic:nvPicPr>
                  <pic:blipFill>
                    <a:blip r:embed="rId29" cstate="print"/>
                    <a:stretch>
                      <a:fillRect/>
                    </a:stretch>
                  </pic:blipFill>
                  <pic:spPr>
                    <a:xfrm>
                      <a:off x="0" y="0"/>
                      <a:ext cx="4421252" cy="3741059"/>
                    </a:xfrm>
                    <a:prstGeom prst="rect">
                      <a:avLst/>
                    </a:prstGeom>
                    <a:ln>
                      <a:solidFill>
                        <a:schemeClr val="tx1"/>
                      </a:solidFill>
                    </a:ln>
                  </pic:spPr>
                </pic:pic>
              </a:graphicData>
            </a:graphic>
          </wp:inline>
        </w:drawing>
      </w:r>
    </w:p>
    <w:p w:rsidR="00FE7258" w:rsidRPr="00510865" w:rsidRDefault="00FE7258" w:rsidP="00FE7258">
      <w:pPr>
        <w:rPr>
          <w:sz w:val="18"/>
          <w:szCs w:val="18"/>
        </w:rPr>
      </w:pPr>
      <w:r w:rsidRPr="00510865">
        <w:rPr>
          <w:sz w:val="18"/>
          <w:szCs w:val="18"/>
        </w:rPr>
        <w:t>Kilde</w:t>
      </w:r>
      <w:r>
        <w:rPr>
          <w:sz w:val="18"/>
          <w:szCs w:val="18"/>
        </w:rPr>
        <w:t>:</w:t>
      </w:r>
      <w:sdt>
        <w:sdtPr>
          <w:rPr>
            <w:sz w:val="18"/>
            <w:szCs w:val="18"/>
          </w:rPr>
          <w:id w:val="781215"/>
          <w:citation/>
        </w:sdtPr>
        <w:sdtContent>
          <w:r w:rsidR="000B05D0">
            <w:rPr>
              <w:sz w:val="18"/>
              <w:szCs w:val="18"/>
            </w:rPr>
            <w:fldChar w:fldCharType="begin"/>
          </w:r>
          <w:r>
            <w:rPr>
              <w:sz w:val="18"/>
              <w:szCs w:val="18"/>
            </w:rPr>
            <w:instrText xml:space="preserve"> CITATION Æld13 \l 1030  </w:instrText>
          </w:r>
          <w:r w:rsidR="000B05D0">
            <w:rPr>
              <w:sz w:val="18"/>
              <w:szCs w:val="18"/>
            </w:rPr>
            <w:fldChar w:fldCharType="separate"/>
          </w:r>
          <w:r>
            <w:rPr>
              <w:noProof/>
              <w:sz w:val="18"/>
              <w:szCs w:val="18"/>
            </w:rPr>
            <w:t xml:space="preserve"> </w:t>
          </w:r>
          <w:r w:rsidRPr="00676BDB">
            <w:rPr>
              <w:noProof/>
              <w:sz w:val="18"/>
              <w:szCs w:val="18"/>
            </w:rPr>
            <w:t>(Ældresagen, 2013)</w:t>
          </w:r>
          <w:r w:rsidR="000B05D0">
            <w:rPr>
              <w:sz w:val="18"/>
              <w:szCs w:val="18"/>
            </w:rPr>
            <w:fldChar w:fldCharType="end"/>
          </w:r>
        </w:sdtContent>
      </w:sdt>
    </w:p>
    <w:p w:rsidR="00FE7258" w:rsidRDefault="00FE7258" w:rsidP="00FE7258"/>
    <w:p w:rsidR="00FE7258" w:rsidRDefault="00FE7258" w:rsidP="00FE7258">
      <w:r>
        <w:t>Beregnes plejeboligbehovet på grundlag af dækningsgraden</w:t>
      </w:r>
      <w:r>
        <w:rPr>
          <w:rStyle w:val="Fodnotehenvisning"/>
          <w:rFonts w:eastAsiaTheme="majorEastAsia"/>
        </w:rPr>
        <w:footnoteReference w:id="10"/>
      </w:r>
      <w:r>
        <w:t xml:space="preserve"> fås, at det samlede ekstra behov for boliger i perioden 2015-2023 er 234 boliger. I gennemsnit skal der tilføres 19 boliger om året. 2015 kræver dog 81 boliger, men det skyldes at 2015 i dette regnestykke er inklusiv hele efterslæbet i årene før 2015. Se </w:t>
      </w:r>
      <w:r w:rsidR="000B05D0">
        <w:fldChar w:fldCharType="begin"/>
      </w:r>
      <w:r>
        <w:instrText xml:space="preserve"> REF _Ref410738242 \h </w:instrText>
      </w:r>
      <w:r w:rsidR="000B05D0">
        <w:fldChar w:fldCharType="separate"/>
      </w:r>
      <w:r w:rsidR="00065E19">
        <w:t xml:space="preserve">Figur </w:t>
      </w:r>
      <w:r w:rsidR="00065E19">
        <w:rPr>
          <w:noProof/>
        </w:rPr>
        <w:t>7</w:t>
      </w:r>
      <w:r w:rsidR="00065E19">
        <w:t>: Behovet for ekstra plejeboliger 2015-2023</w:t>
      </w:r>
      <w:r w:rsidR="000B05D0">
        <w:fldChar w:fldCharType="end"/>
      </w:r>
      <w:r>
        <w:t>.</w:t>
      </w:r>
    </w:p>
    <w:p w:rsidR="00FE7258" w:rsidRDefault="00FE7258" w:rsidP="00FE7258"/>
    <w:p w:rsidR="00FE7258" w:rsidRDefault="000B05D0" w:rsidP="00FE7258">
      <w:pPr>
        <w:pStyle w:val="Billedtekst"/>
      </w:pPr>
      <w:bookmarkStart w:id="54" w:name="_Ref410734255"/>
      <w:bookmarkStart w:id="55" w:name="_Ref410738242"/>
      <w:r>
        <w:rPr>
          <w:noProof/>
          <w:lang w:eastAsia="en-US"/>
        </w:rPr>
        <w:pict>
          <v:shape id="_x0000_s1110" type="#_x0000_t202" style="position:absolute;margin-left:8.55pt;margin-top:17.65pt;width:291.85pt;height:157.4pt;z-index:251747328;mso-width-relative:margin;mso-height-relative:margin">
            <v:textbox style="mso-next-textbox:#_x0000_s1110">
              <w:txbxContent>
                <w:p w:rsidR="00220D70" w:rsidRDefault="00220D70" w:rsidP="00FE7258">
                  <w:r w:rsidRPr="00BD208A">
                    <w:rPr>
                      <w:noProof/>
                    </w:rPr>
                    <w:drawing>
                      <wp:inline distT="0" distB="0" distL="0" distR="0">
                        <wp:extent cx="3514090" cy="1832911"/>
                        <wp:effectExtent l="19050" t="0" r="10160" b="0"/>
                        <wp:docPr id="23" name="Diagram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xbxContent>
            </v:textbox>
          </v:shape>
        </w:pict>
      </w:r>
      <w:bookmarkStart w:id="56" w:name="_Toc411506624"/>
      <w:bookmarkStart w:id="57" w:name="_Toc414519466"/>
      <w:r w:rsidR="00FE7258">
        <w:t xml:space="preserve">Figur </w:t>
      </w:r>
      <w:fldSimple w:instr=" SEQ Figur \* ARABIC ">
        <w:r w:rsidR="00B6715E">
          <w:rPr>
            <w:noProof/>
          </w:rPr>
          <w:t>7</w:t>
        </w:r>
      </w:fldSimple>
      <w:r w:rsidR="00FE7258">
        <w:t>: Behovet for ekstra plejeboliger 2015-202</w:t>
      </w:r>
      <w:bookmarkEnd w:id="54"/>
      <w:r w:rsidR="00FE7258">
        <w:t>3</w:t>
      </w:r>
      <w:bookmarkEnd w:id="55"/>
      <w:bookmarkEnd w:id="56"/>
      <w:bookmarkEnd w:id="57"/>
    </w:p>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p w:rsidR="00FE7258" w:rsidRDefault="00FE7258" w:rsidP="00FE7258">
      <w:r>
        <w:t>Ældresagen mener, at dækningsgraden bør være 20 pct. og at byggeriet af nye b</w:t>
      </w:r>
      <w:r>
        <w:t>o</w:t>
      </w:r>
      <w:r>
        <w:t xml:space="preserve">liger især skal tilgodese behovet for demensboliger </w:t>
      </w:r>
      <w:sdt>
        <w:sdtPr>
          <w:id w:val="91920425"/>
          <w:citation/>
        </w:sdtPr>
        <w:sdtContent>
          <w:fldSimple w:instr=" CITATION Æld13 \l 1030  ">
            <w:r>
              <w:rPr>
                <w:noProof/>
              </w:rPr>
              <w:t>(Ældresagen, 2013)</w:t>
            </w:r>
          </w:fldSimple>
        </w:sdtContent>
      </w:sdt>
      <w:r>
        <w:t>. Det vil hæve det samlede behov for plejeboliger til 271 boliger. KL mener, at dækning</w:t>
      </w:r>
      <w:r>
        <w:t>s</w:t>
      </w:r>
      <w:r>
        <w:lastRenderedPageBreak/>
        <w:t xml:space="preserve">graden skal tages konservativt i de kommende år og være omkring 11 pct. Det vil sænke behovet i perioden til 8 boliger </w:t>
      </w:r>
      <w:sdt>
        <w:sdtPr>
          <w:id w:val="91920424"/>
          <w:citation/>
        </w:sdtPr>
        <w:sdtContent>
          <w:fldSimple w:instr=" CITATION Dan14 \l 1030 ">
            <w:r>
              <w:rPr>
                <w:noProof/>
              </w:rPr>
              <w:t>(Danske Kommuner, 2014)</w:t>
            </w:r>
          </w:fldSimple>
        </w:sdtContent>
      </w:sdt>
      <w:r>
        <w:rPr>
          <w:rStyle w:val="Fodnotehenvisning"/>
          <w:rFonts w:eastAsiaTheme="majorEastAsia"/>
        </w:rPr>
        <w:footnoteReference w:id="11"/>
      </w:r>
      <w:r>
        <w:t>.</w:t>
      </w:r>
    </w:p>
    <w:p w:rsidR="00FE7258" w:rsidRDefault="00FE7258" w:rsidP="00FE7258"/>
    <w:p w:rsidR="00FE7258" w:rsidRPr="001F638E" w:rsidRDefault="00FE7258" w:rsidP="00FE7258">
      <w:pPr>
        <w:pStyle w:val="Overskrift2"/>
        <w:rPr>
          <w:sz w:val="22"/>
          <w:szCs w:val="22"/>
        </w:rPr>
      </w:pPr>
      <w:bookmarkStart w:id="58" w:name="_Toc411506554"/>
      <w:bookmarkStart w:id="59" w:name="_Toc414960282"/>
      <w:r w:rsidRPr="001F638E">
        <w:rPr>
          <w:sz w:val="22"/>
          <w:szCs w:val="22"/>
        </w:rPr>
        <w:t>Demografi- &amp; Budgetmodellen (DBM)</w:t>
      </w:r>
      <w:bookmarkEnd w:id="58"/>
      <w:bookmarkEnd w:id="59"/>
    </w:p>
    <w:p w:rsidR="00FE7258" w:rsidRDefault="00FE7258" w:rsidP="00FE7258">
      <w:r>
        <w:t>Modellen simulerer behovet for antal plejeboliger, når demografien ændrer sig ud fra tre forskellige scenarier: 1) de historiske behovsgrader</w:t>
      </w:r>
      <w:r>
        <w:rPr>
          <w:rStyle w:val="Fodnotehenvisning"/>
          <w:rFonts w:eastAsiaTheme="majorEastAsia"/>
        </w:rPr>
        <w:footnoteReference w:id="12"/>
      </w:r>
      <w:r>
        <w:t>, 2) de historiske b</w:t>
      </w:r>
      <w:r>
        <w:t>e</w:t>
      </w:r>
      <w:r>
        <w:t>hovsgrader justeret for Sund aldring i kommunen, 3) de historiske behovsgrader justeret for Sund aldring i hele landet. Modellen anvender ikke dækningsgrader. Der sættes lighedstegn mellem Sund aldring og udviklingen i middellevetiden.</w:t>
      </w:r>
    </w:p>
    <w:p w:rsidR="00FE7258" w:rsidRDefault="00FE7258" w:rsidP="00FE7258"/>
    <w:p w:rsidR="00FE7258" w:rsidRDefault="00FE7258" w:rsidP="00FE7258">
      <w:r>
        <w:t>Beregning af behovet for plejeboliger er sket ved at kalibrere modellen for hvert år så plejeboliggarantien på 2 mdr. altid er overholdt. Modellen er følsom overfor, hvor stor en andel af borgerne på venteliste, som vælger den generelle venteliste og dermed omfattes af ventetidsgarantien. Andelen er pt. 50 pct. bestemt på ba</w:t>
      </w:r>
      <w:r>
        <w:t>g</w:t>
      </w:r>
      <w:r>
        <w:t xml:space="preserve">grund af </w:t>
      </w:r>
      <w:proofErr w:type="spellStart"/>
      <w:r>
        <w:t>ventelistetal</w:t>
      </w:r>
      <w:proofErr w:type="spellEnd"/>
      <w:r>
        <w:t xml:space="preserve"> fra perioden 2012-2014. </w:t>
      </w:r>
    </w:p>
    <w:p w:rsidR="00FE7258" w:rsidRDefault="00FE7258" w:rsidP="00FE7258"/>
    <w:p w:rsidR="00FE7258" w:rsidRDefault="00FE7258" w:rsidP="00FE7258">
      <w:pPr>
        <w:pStyle w:val="Billedtekst"/>
      </w:pPr>
      <w:bookmarkStart w:id="60" w:name="_Toc411506631"/>
      <w:bookmarkStart w:id="61" w:name="_Toc414519484"/>
      <w:r>
        <w:t xml:space="preserve">Tabel </w:t>
      </w:r>
      <w:fldSimple w:instr=" SEQ Tabel \* ARABIC ">
        <w:r w:rsidR="0017261E">
          <w:rPr>
            <w:noProof/>
          </w:rPr>
          <w:t>13</w:t>
        </w:r>
      </w:fldSimple>
      <w:r>
        <w:t>: Behovet for plejeboliger efter DBM</w:t>
      </w:r>
      <w:bookmarkEnd w:id="60"/>
      <w:bookmarkEnd w:id="61"/>
    </w:p>
    <w:p w:rsidR="00AB4B3C" w:rsidRDefault="00AB4B3C" w:rsidP="00AB4B3C">
      <w:r w:rsidRPr="00AB4B3C">
        <w:rPr>
          <w:noProof/>
        </w:rPr>
        <w:drawing>
          <wp:inline distT="0" distB="0" distL="0" distR="0">
            <wp:extent cx="3133725" cy="2324100"/>
            <wp:effectExtent l="19050" t="0" r="9525" b="0"/>
            <wp:docPr id="63" name="Bille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1" cstate="print"/>
                    <a:srcRect/>
                    <a:stretch>
                      <a:fillRect/>
                    </a:stretch>
                  </pic:blipFill>
                  <pic:spPr bwMode="auto">
                    <a:xfrm>
                      <a:off x="0" y="0"/>
                      <a:ext cx="3133725" cy="2324100"/>
                    </a:xfrm>
                    <a:prstGeom prst="rect">
                      <a:avLst/>
                    </a:prstGeom>
                    <a:noFill/>
                    <a:ln w="9525">
                      <a:noFill/>
                      <a:miter lim="800000"/>
                      <a:headEnd/>
                      <a:tailEnd/>
                    </a:ln>
                  </pic:spPr>
                </pic:pic>
              </a:graphicData>
            </a:graphic>
          </wp:inline>
        </w:drawing>
      </w:r>
    </w:p>
    <w:p w:rsidR="00FE7258" w:rsidRPr="00FE2CBD" w:rsidRDefault="00FE7258" w:rsidP="00FE7258">
      <w:pPr>
        <w:rPr>
          <w:sz w:val="16"/>
          <w:szCs w:val="16"/>
        </w:rPr>
      </w:pPr>
      <w:r>
        <w:rPr>
          <w:sz w:val="16"/>
          <w:szCs w:val="16"/>
        </w:rPr>
        <w:t xml:space="preserve">  Kilde: DBM</w:t>
      </w:r>
    </w:p>
    <w:p w:rsidR="00FE7258" w:rsidRDefault="00FE7258" w:rsidP="00FE7258"/>
    <w:p w:rsidR="00FE7258" w:rsidRDefault="00FE7258" w:rsidP="00FE7258">
      <w:r>
        <w:t>Scenariet ”Uændret behovsgrad” opgør behovet for boliger til 3</w:t>
      </w:r>
      <w:r w:rsidR="00281442">
        <w:t>3 (efter 2016)</w:t>
      </w:r>
      <w:r>
        <w:t>. Æ</w:t>
      </w:r>
      <w:r>
        <w:t>n</w:t>
      </w:r>
      <w:r>
        <w:t>dres andelen af borgerne på ventelisten, der ønsker den generelle venteliste til 60 pct. øges behovet med 1</w:t>
      </w:r>
      <w:r w:rsidR="00281442">
        <w:t>9</w:t>
      </w:r>
      <w:r>
        <w:t xml:space="preserve"> boliger til i alt </w:t>
      </w:r>
      <w:r w:rsidR="00281442">
        <w:t>50</w:t>
      </w:r>
      <w:r>
        <w:t xml:space="preserve"> boliger. I hele perioden er garantien overholdt. </w:t>
      </w:r>
    </w:p>
    <w:p w:rsidR="00FE7258" w:rsidRDefault="00FE7258" w:rsidP="00FE7258"/>
    <w:p w:rsidR="00FE7258" w:rsidRDefault="00FE7258" w:rsidP="00FE7258">
      <w:r>
        <w:t>Scenariet ”Sund aldring” reducerer behovet til henholdsvis 2</w:t>
      </w:r>
      <w:r w:rsidR="00281442">
        <w:t>6</w:t>
      </w:r>
      <w:r>
        <w:t xml:space="preserve"> og 4</w:t>
      </w:r>
      <w:r w:rsidR="00281442">
        <w:t>4</w:t>
      </w:r>
      <w:r>
        <w:t xml:space="preserve"> boliger</w:t>
      </w:r>
      <w:r w:rsidR="00281442">
        <w:t xml:space="preserve"> (o</w:t>
      </w:r>
      <w:r w:rsidR="00281442">
        <w:t>p</w:t>
      </w:r>
      <w:r w:rsidR="00281442">
        <w:t>gjort efter 2016)</w:t>
      </w:r>
      <w:r>
        <w:t>.</w:t>
      </w:r>
    </w:p>
    <w:p w:rsidR="00FE7258" w:rsidRDefault="00FE7258" w:rsidP="00FE7258"/>
    <w:p w:rsidR="00FE7258" w:rsidRDefault="00FE7258" w:rsidP="00FE7258">
      <w:r>
        <w:t>For begge scenarier starter behovet for flere boliger i 2018 (60 pct. andel) og i 2019 (50 pct. andel).</w:t>
      </w:r>
    </w:p>
    <w:p w:rsidR="00FE7258" w:rsidRDefault="00FE7258" w:rsidP="00186E32"/>
    <w:p w:rsidR="009226A6" w:rsidRPr="001F638E" w:rsidRDefault="00522B66" w:rsidP="009226A6">
      <w:pPr>
        <w:pStyle w:val="Overskrift2"/>
        <w:rPr>
          <w:sz w:val="22"/>
          <w:szCs w:val="22"/>
        </w:rPr>
      </w:pPr>
      <w:bookmarkStart w:id="62" w:name="_Toc414960283"/>
      <w:r w:rsidRPr="001F638E">
        <w:rPr>
          <w:sz w:val="22"/>
          <w:szCs w:val="22"/>
        </w:rPr>
        <w:t>Simulering af udgiftsudvikling</w:t>
      </w:r>
      <w:bookmarkEnd w:id="62"/>
    </w:p>
    <w:p w:rsidR="00522B66" w:rsidRDefault="00522B66" w:rsidP="00522B66">
      <w:r>
        <w:t xml:space="preserve">Efterspørgslen efter plejeboliger er </w:t>
      </w:r>
      <w:proofErr w:type="spellStart"/>
      <w:r>
        <w:t>udbudbestemt</w:t>
      </w:r>
      <w:proofErr w:type="spellEnd"/>
      <w:r>
        <w:t>. Fastholdes 312 boliger kan e</w:t>
      </w:r>
      <w:r>
        <w:t>f</w:t>
      </w:r>
      <w:r>
        <w:t>terspørgslen kun tilfredsstilles gennem køb af pladser i andre kommuner eller at forsøge med massiv hjemmepleje i borgerens eget hjem. Alternativet er en bala</w:t>
      </w:r>
      <w:r>
        <w:t>n</w:t>
      </w:r>
      <w:r>
        <w:t>ceret tilførsel af flere plejeboliger nøje afstemt til demografi og fremtidig efte</w:t>
      </w:r>
      <w:r>
        <w:t>r</w:t>
      </w:r>
      <w:r>
        <w:lastRenderedPageBreak/>
        <w:t xml:space="preserve">spørgselsmønster. </w:t>
      </w:r>
      <w:r w:rsidR="00A0241E">
        <w:t xml:space="preserve">Der er således mange scenarier for, hvorledes udgiftsudviklingen kan forløbe. </w:t>
      </w:r>
    </w:p>
    <w:p w:rsidR="00A0241E" w:rsidRDefault="00A0241E" w:rsidP="00522B66">
      <w:r>
        <w:t>Her er der taget udgangspunkt i en simulering, hvor taksten for de nuværende pl</w:t>
      </w:r>
      <w:r>
        <w:t>e</w:t>
      </w:r>
      <w:r>
        <w:t>jeboliger anvendes kr. 525.000 pr. år. pr. borger. Simuleringen er baseret på, at ventelistegarantien overholdes i to situationer: 1) hvor 50 pct. af borgerne på ve</w:t>
      </w:r>
      <w:r>
        <w:t>n</w:t>
      </w:r>
      <w:r>
        <w:t xml:space="preserve">teliste ønsker den generelle venteliste, 2) hvor andelen er 60 pct. </w:t>
      </w:r>
    </w:p>
    <w:p w:rsidR="00A0241E" w:rsidRDefault="00A0241E" w:rsidP="00522B66"/>
    <w:p w:rsidR="00B6715E" w:rsidRPr="00522B66" w:rsidRDefault="00B6715E" w:rsidP="00B6715E">
      <w:pPr>
        <w:pStyle w:val="Billedtekst"/>
      </w:pPr>
      <w:bookmarkStart w:id="63" w:name="_Toc414519467"/>
      <w:r>
        <w:t xml:space="preserve">Figur </w:t>
      </w:r>
      <w:fldSimple w:instr=" SEQ Figur \* ARABIC ">
        <w:r>
          <w:rPr>
            <w:noProof/>
          </w:rPr>
          <w:t>8</w:t>
        </w:r>
      </w:fldSimple>
      <w:r>
        <w:t>: Simulering af udgift</w:t>
      </w:r>
      <w:r w:rsidR="00F753B7">
        <w:t>s</w:t>
      </w:r>
      <w:r>
        <w:t>udviklingen til plejeboliger, 2014 - 2023</w:t>
      </w:r>
      <w:bookmarkEnd w:id="63"/>
    </w:p>
    <w:p w:rsidR="009226A6" w:rsidRDefault="009226A6" w:rsidP="00186E32">
      <w:r w:rsidRPr="009226A6">
        <w:rPr>
          <w:noProof/>
        </w:rPr>
        <w:drawing>
          <wp:inline distT="0" distB="0" distL="0" distR="0">
            <wp:extent cx="4652010" cy="2492822"/>
            <wp:effectExtent l="1905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srcRect/>
                    <a:stretch>
                      <a:fillRect/>
                    </a:stretch>
                  </pic:blipFill>
                  <pic:spPr bwMode="auto">
                    <a:xfrm>
                      <a:off x="0" y="0"/>
                      <a:ext cx="4653104" cy="2493408"/>
                    </a:xfrm>
                    <a:prstGeom prst="rect">
                      <a:avLst/>
                    </a:prstGeom>
                    <a:noFill/>
                    <a:ln w="9525">
                      <a:noFill/>
                      <a:miter lim="800000"/>
                      <a:headEnd/>
                      <a:tailEnd/>
                    </a:ln>
                  </pic:spPr>
                </pic:pic>
              </a:graphicData>
            </a:graphic>
          </wp:inline>
        </w:drawing>
      </w:r>
    </w:p>
    <w:p w:rsidR="00FE7258" w:rsidRDefault="00FE7258" w:rsidP="00186E32"/>
    <w:p w:rsidR="00B6715E" w:rsidRDefault="00B6715E" w:rsidP="00186E32">
      <w:r>
        <w:t>I 2014 er den samlede udgift 166,3 mio. kr. (lig den vedtagne budgetramme)</w:t>
      </w:r>
      <w:r w:rsidR="007E123F">
        <w:t xml:space="preserve"> og i 2023 er udgiften 178,9 mio. kr. (50 pct.) hhv. 188,3 mio. kr. (60 pct.). Det er en stigning på godt 7 pct. </w:t>
      </w:r>
      <w:r w:rsidR="00C8145E">
        <w:t xml:space="preserve">eller knap 1 pct. om året. Udgiftsudviklingen tager fart fra 2017, hvor en andel på 60 pct. er ca. 10 mio. kr. højere end for 50 </w:t>
      </w:r>
      <w:proofErr w:type="spellStart"/>
      <w:r w:rsidR="00C8145E">
        <w:t>pct.-andelen</w:t>
      </w:r>
      <w:proofErr w:type="spellEnd"/>
      <w:r w:rsidR="00C8145E">
        <w:t>.</w:t>
      </w:r>
      <w:r>
        <w:t xml:space="preserve"> </w:t>
      </w:r>
      <w:r w:rsidR="00C8145E">
        <w:t>Henset til, at der er tale om en kapacitet, der skal bringes til veje bør konkrete overvejelser indledes inden alt for længe.</w:t>
      </w:r>
    </w:p>
    <w:p w:rsidR="00FE7258" w:rsidRDefault="00FE7258">
      <w:r>
        <w:br w:type="page"/>
      </w:r>
    </w:p>
    <w:p w:rsidR="00382411" w:rsidRPr="001F638E" w:rsidRDefault="00BB6251" w:rsidP="00382411">
      <w:pPr>
        <w:pStyle w:val="Overskrift1"/>
        <w:rPr>
          <w:sz w:val="24"/>
          <w:szCs w:val="24"/>
        </w:rPr>
      </w:pPr>
      <w:bookmarkStart w:id="64" w:name="_Toc414960284"/>
      <w:proofErr w:type="spellStart"/>
      <w:r w:rsidRPr="001F638E">
        <w:rPr>
          <w:sz w:val="24"/>
          <w:szCs w:val="24"/>
        </w:rPr>
        <w:lastRenderedPageBreak/>
        <w:t>Korttidsboliger</w:t>
      </w:r>
      <w:bookmarkEnd w:id="64"/>
      <w:proofErr w:type="spellEnd"/>
    </w:p>
    <w:p w:rsidR="00B14ABA" w:rsidRDefault="00B14ABA" w:rsidP="00B14ABA">
      <w:r>
        <w:t>Serviceloven dikterer, at kommunens ansvar er at sikre tilbud til aflastning, tilbud om hjælp, omsorg eller støtte til optræning eller rehabilitering til borgere med b</w:t>
      </w:r>
      <w:r>
        <w:t>e</w:t>
      </w:r>
      <w:r>
        <w:t>tydelig nedsat mental eller fysisk funktionsevne. Borgere, der ikke har nedsat fun</w:t>
      </w:r>
      <w:r>
        <w:t>k</w:t>
      </w:r>
      <w:r>
        <w:t>tionsevne, kan også efter særlige grunde gives tilbud om midlertidigt ophold.</w:t>
      </w:r>
      <w:r w:rsidRPr="00FC4E3F">
        <w:t xml:space="preserve"> </w:t>
      </w:r>
      <w:r>
        <w:t>Hjæ</w:t>
      </w:r>
      <w:r>
        <w:t>l</w:t>
      </w:r>
      <w:r>
        <w:t xml:space="preserve">pen skal kunne leveres døgnet rundt. For at leve op til lovens krav forudsætter det, at kommunen råder over en kapacitet af </w:t>
      </w:r>
      <w:proofErr w:type="spellStart"/>
      <w:r w:rsidR="00BB6251">
        <w:t>korttidsboliger</w:t>
      </w:r>
      <w:proofErr w:type="spellEnd"/>
      <w:r>
        <w:t>.</w:t>
      </w:r>
    </w:p>
    <w:p w:rsidR="00B14ABA" w:rsidRDefault="00B14ABA" w:rsidP="00B14ABA"/>
    <w:p w:rsidR="00B14ABA" w:rsidRDefault="00B14ABA" w:rsidP="00B14ABA">
      <w:r>
        <w:t xml:space="preserve">Et kommunalt tilbud om ophold på en døgninstitution er en kommunal boligudgift. Borgeren opretholder således sin egen permanente bolig under opholdet. </w:t>
      </w:r>
    </w:p>
    <w:p w:rsidR="00B14ABA" w:rsidRDefault="00B14ABA" w:rsidP="00B14ABA"/>
    <w:p w:rsidR="00B14ABA" w:rsidRDefault="00B14ABA" w:rsidP="00B14ABA">
      <w:r>
        <w:t>Ballerup Kommunes kapacitet er 2</w:t>
      </w:r>
      <w:r w:rsidR="00C73257">
        <w:t>9</w:t>
      </w:r>
      <w:r>
        <w:t xml:space="preserve"> </w:t>
      </w:r>
      <w:proofErr w:type="spellStart"/>
      <w:r w:rsidR="00BB6251">
        <w:t>korttidsboliger</w:t>
      </w:r>
      <w:proofErr w:type="spellEnd"/>
      <w:r>
        <w:t xml:space="preserve">; </w:t>
      </w:r>
      <w:r w:rsidR="00C73257">
        <w:t>21</w:t>
      </w:r>
      <w:r>
        <w:t xml:space="preserve"> boliger på Lindehaven og 8 boliger på Sønderhaven</w:t>
      </w:r>
      <w:r>
        <w:rPr>
          <w:rStyle w:val="Fodnotehenvisning"/>
          <w:rFonts w:eastAsiaTheme="majorEastAsia"/>
        </w:rPr>
        <w:footnoteReference w:id="13"/>
      </w:r>
      <w:r>
        <w:t xml:space="preserve">. </w:t>
      </w:r>
    </w:p>
    <w:p w:rsidR="001D0745" w:rsidRDefault="001D0745" w:rsidP="001D0745"/>
    <w:p w:rsidR="001D0745" w:rsidRPr="001F638E" w:rsidRDefault="001D0745" w:rsidP="001D0745">
      <w:pPr>
        <w:pStyle w:val="Overskrift2"/>
        <w:rPr>
          <w:sz w:val="22"/>
          <w:szCs w:val="22"/>
        </w:rPr>
      </w:pPr>
      <w:bookmarkStart w:id="65" w:name="_Toc411506557"/>
      <w:bookmarkStart w:id="66" w:name="_Toc414960285"/>
      <w:r w:rsidRPr="001F638E">
        <w:rPr>
          <w:sz w:val="22"/>
          <w:szCs w:val="22"/>
        </w:rPr>
        <w:t>Dækningsgraden</w:t>
      </w:r>
      <w:bookmarkEnd w:id="65"/>
      <w:bookmarkEnd w:id="66"/>
    </w:p>
    <w:p w:rsidR="001D0745" w:rsidRDefault="001D0745" w:rsidP="001D0745">
      <w:r>
        <w:t xml:space="preserve">Der findes ikke en mere eller mindre fælles fremgangsmåde blandt kommunerne for beregning af behovet for </w:t>
      </w:r>
      <w:proofErr w:type="spellStart"/>
      <w:r w:rsidR="00BB6251">
        <w:t>korttidsboliger</w:t>
      </w:r>
      <w:proofErr w:type="spellEnd"/>
      <w:r>
        <w:t xml:space="preserve">. Spørgsmålet synes mest at hænge sammen med, hvilken faglig og politisk kontekst, behovet er vurderet i. Det spiller en rolle, at der med </w:t>
      </w:r>
      <w:proofErr w:type="spellStart"/>
      <w:r w:rsidR="00BB6251">
        <w:t>korttidsboliger</w:t>
      </w:r>
      <w:proofErr w:type="spellEnd"/>
      <w:r>
        <w:t xml:space="preserve"> ikke er samme årtiers erfaring, som det kendes med plejeboliger/plejehjem. Serviceloven kom i 1998 og er siden revideret 3 ga</w:t>
      </w:r>
      <w:r>
        <w:t>n</w:t>
      </w:r>
      <w:r>
        <w:t>ge. I 2007 indførtes kommunalreformen med betydeligt udvidet kommunalt ansvar for borgernes sundhed. Det har krævet tilvænning og tilpasning i kommunerne. En proces, der stadig er i gang i kommunerne.</w:t>
      </w:r>
    </w:p>
    <w:p w:rsidR="001D0745" w:rsidRDefault="001D0745" w:rsidP="001D0745"/>
    <w:p w:rsidR="001D0745" w:rsidRDefault="001D0745" w:rsidP="001D0745">
      <w:r>
        <w:t xml:space="preserve">På baggrund af oplysninger fra andre (nabo)kommuner er Ballerup Kommune </w:t>
      </w:r>
      <w:proofErr w:type="spellStart"/>
      <w:r>
        <w:t>benchmarket</w:t>
      </w:r>
      <w:proofErr w:type="spellEnd"/>
      <w:r>
        <w:t xml:space="preserve"> ved brug af dækningsgraden. </w:t>
      </w:r>
    </w:p>
    <w:p w:rsidR="001D0745" w:rsidRDefault="001D0745" w:rsidP="001D0745"/>
    <w:p w:rsidR="001D0745" w:rsidRDefault="001D0745" w:rsidP="001D0745">
      <w:pPr>
        <w:pStyle w:val="Billedtekst"/>
      </w:pPr>
      <w:bookmarkStart w:id="67" w:name="_Ref411415120"/>
      <w:bookmarkStart w:id="68" w:name="_Ref410887735"/>
      <w:bookmarkStart w:id="69" w:name="_Toc411506625"/>
      <w:bookmarkStart w:id="70" w:name="_Toc414519468"/>
      <w:r>
        <w:t xml:space="preserve">Figur </w:t>
      </w:r>
      <w:fldSimple w:instr=" SEQ Figur \* ARABIC ">
        <w:r w:rsidR="00B6715E">
          <w:rPr>
            <w:noProof/>
          </w:rPr>
          <w:t>9</w:t>
        </w:r>
      </w:fldSimple>
      <w:bookmarkEnd w:id="67"/>
      <w:r>
        <w:t>: Dækningsgrad af midlertidige boliger i udvalgte kommuner</w:t>
      </w:r>
      <w:bookmarkEnd w:id="68"/>
      <w:bookmarkEnd w:id="69"/>
      <w:bookmarkEnd w:id="70"/>
    </w:p>
    <w:p w:rsidR="001D0745" w:rsidRDefault="001D0745" w:rsidP="001D0745">
      <w:pPr>
        <w:ind w:left="142"/>
      </w:pPr>
      <w:r w:rsidRPr="005E6B05">
        <w:rPr>
          <w:noProof/>
        </w:rPr>
        <w:drawing>
          <wp:inline distT="0" distB="0" distL="0" distR="0">
            <wp:extent cx="4779645" cy="2326640"/>
            <wp:effectExtent l="19050" t="0" r="20955" b="0"/>
            <wp:docPr id="11" name="Diagram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1D0745" w:rsidRPr="00CE3170" w:rsidRDefault="001D0745" w:rsidP="001D0745">
      <w:pPr>
        <w:rPr>
          <w:sz w:val="16"/>
          <w:szCs w:val="16"/>
        </w:rPr>
      </w:pPr>
      <w:r>
        <w:t xml:space="preserve">  </w:t>
      </w:r>
      <w:r>
        <w:rPr>
          <w:sz w:val="16"/>
          <w:szCs w:val="16"/>
        </w:rPr>
        <w:t>Kilde: Statistikbanken og kommunale oplysninger</w:t>
      </w:r>
    </w:p>
    <w:p w:rsidR="001D0745" w:rsidRDefault="001D0745" w:rsidP="001D0745"/>
    <w:p w:rsidR="001D0745" w:rsidRDefault="001D0745" w:rsidP="001D0745">
      <w:r>
        <w:t xml:space="preserve">Andre kommuner jf. </w:t>
      </w:r>
      <w:r w:rsidR="000B05D0">
        <w:fldChar w:fldCharType="begin"/>
      </w:r>
      <w:r>
        <w:instrText xml:space="preserve"> REF _Ref411415120 \h </w:instrText>
      </w:r>
      <w:r w:rsidR="000B05D0">
        <w:fldChar w:fldCharType="separate"/>
      </w:r>
      <w:r>
        <w:t xml:space="preserve">Figur </w:t>
      </w:r>
      <w:r>
        <w:rPr>
          <w:noProof/>
        </w:rPr>
        <w:t>5</w:t>
      </w:r>
      <w:r w:rsidR="000B05D0">
        <w:fldChar w:fldCharType="end"/>
      </w:r>
      <w:r>
        <w:t xml:space="preserve">, har relativt til Ballerup flere </w:t>
      </w:r>
      <w:proofErr w:type="spellStart"/>
      <w:r w:rsidR="00BB6251">
        <w:t>korttidsboliger</w:t>
      </w:r>
      <w:proofErr w:type="spellEnd"/>
      <w:r>
        <w:t xml:space="preserve">. Højeste dækningsgrad er Gladsaxe med 2,5 pct. i 2015 (80 pladser). Dernæst følger Herlev med 2,0 pct. (28 pladser), </w:t>
      </w:r>
      <w:proofErr w:type="spellStart"/>
      <w:r>
        <w:t>Egedal</w:t>
      </w:r>
      <w:proofErr w:type="spellEnd"/>
      <w:r>
        <w:t xml:space="preserve"> med 1,9 pct. (20 pladser), Furesø med 1,6 pct. </w:t>
      </w:r>
      <w:r>
        <w:lastRenderedPageBreak/>
        <w:t>(30 pladser) og sidst Ballerup med 1,</w:t>
      </w:r>
      <w:r w:rsidR="004C2CB3">
        <w:t>3</w:t>
      </w:r>
      <w:r>
        <w:t xml:space="preserve"> pct. (2</w:t>
      </w:r>
      <w:r w:rsidR="004C2CB3">
        <w:t>9</w:t>
      </w:r>
      <w:r>
        <w:t xml:space="preserve"> pladser</w:t>
      </w:r>
      <w:r w:rsidR="004C2CB3">
        <w:rPr>
          <w:rStyle w:val="Fodnotehenvisning"/>
        </w:rPr>
        <w:footnoteReference w:id="14"/>
      </w:r>
      <w:r>
        <w:t>). I figuren vises dæ</w:t>
      </w:r>
      <w:r>
        <w:t>k</w:t>
      </w:r>
      <w:r>
        <w:t xml:space="preserve">ningsgradernes udvikling i lyset af de demografiske ændringer. I 2023 vil Ballerups dækningsgrad – alt andet lige, være faldet til 0,8 pct. </w:t>
      </w:r>
    </w:p>
    <w:p w:rsidR="001D0745" w:rsidRDefault="001D0745" w:rsidP="001D0745"/>
    <w:p w:rsidR="001D0745" w:rsidRDefault="001D0745" w:rsidP="001D0745">
      <w:r>
        <w:t>Der er ikke et rationale i kommunerne, der forklarer, hvorfor dækningsgraderne er som de er. Mest taler for, at dækningsgraderne udtrykker en forskel mellem ko</w:t>
      </w:r>
      <w:r>
        <w:t>m</w:t>
      </w:r>
      <w:r>
        <w:t>munernes måde at tænke struktur og sammenhæng på social- og sundhedsomr</w:t>
      </w:r>
      <w:r>
        <w:t>å</w:t>
      </w:r>
      <w:r>
        <w:t xml:space="preserve">det. </w:t>
      </w:r>
    </w:p>
    <w:p w:rsidR="001D0745" w:rsidRDefault="001D0745" w:rsidP="001D0745"/>
    <w:p w:rsidR="001D0745" w:rsidRPr="001F638E" w:rsidRDefault="001D0745" w:rsidP="001D0745">
      <w:pPr>
        <w:pStyle w:val="Overskrift2"/>
        <w:rPr>
          <w:sz w:val="22"/>
          <w:szCs w:val="22"/>
        </w:rPr>
      </w:pPr>
      <w:bookmarkStart w:id="71" w:name="_Toc411506558"/>
      <w:bookmarkStart w:id="72" w:name="_Toc414960286"/>
      <w:r w:rsidRPr="001F638E">
        <w:rPr>
          <w:sz w:val="22"/>
          <w:szCs w:val="22"/>
        </w:rPr>
        <w:t>Demografi- &amp; Budgetmodellen (DBM)</w:t>
      </w:r>
      <w:bookmarkEnd w:id="71"/>
      <w:bookmarkEnd w:id="72"/>
    </w:p>
    <w:p w:rsidR="001D0745" w:rsidRDefault="001D0745" w:rsidP="001D0745">
      <w:r>
        <w:t xml:space="preserve">DBM ser kapaciteten af </w:t>
      </w:r>
      <w:proofErr w:type="spellStart"/>
      <w:r w:rsidR="00BB6251">
        <w:t>korttidsboliger</w:t>
      </w:r>
      <w:proofErr w:type="spellEnd"/>
      <w:r>
        <w:t xml:space="preserve"> som en </w:t>
      </w:r>
      <w:proofErr w:type="spellStart"/>
      <w:r>
        <w:t>pendan</w:t>
      </w:r>
      <w:proofErr w:type="spellEnd"/>
      <w:r>
        <w:t xml:space="preserve"> til </w:t>
      </w:r>
      <w:r w:rsidRPr="005809F8">
        <w:t>sygehuse</w:t>
      </w:r>
      <w:r>
        <w:t>nes patienthote</w:t>
      </w:r>
      <w:r>
        <w:t>l</w:t>
      </w:r>
      <w:r>
        <w:t xml:space="preserve">ler. Det handler om, at knytte en boligkapacitet tæt til kommunens behandlings-, pleje og omsorgsfunktioner i rammen af en døgninstitution. Døgnkapaciteten skal bedst muligt understøtte de forløb som borgeren er visiteret til. </w:t>
      </w:r>
    </w:p>
    <w:p w:rsidR="001D0745" w:rsidRDefault="001D0745" w:rsidP="001D0745"/>
    <w:p w:rsidR="001D0745" w:rsidRPr="001F638E" w:rsidRDefault="001D0745" w:rsidP="001D0745">
      <w:pPr>
        <w:pStyle w:val="Overskrift3"/>
      </w:pPr>
      <w:bookmarkStart w:id="73" w:name="_Toc411506559"/>
      <w:r w:rsidRPr="001F638E">
        <w:t xml:space="preserve">Efterspørgslen efter </w:t>
      </w:r>
      <w:proofErr w:type="spellStart"/>
      <w:r w:rsidR="00BB6251" w:rsidRPr="001F638E">
        <w:t>korttidsboliger</w:t>
      </w:r>
      <w:bookmarkEnd w:id="73"/>
      <w:proofErr w:type="spellEnd"/>
    </w:p>
    <w:p w:rsidR="001D0745" w:rsidRDefault="001D0745" w:rsidP="001D0745">
      <w:r>
        <w:t xml:space="preserve">Faktorer, der i væsentlig grad er medbestemmende for, det optimale antal </w:t>
      </w:r>
      <w:proofErr w:type="spellStart"/>
      <w:r w:rsidR="00BB6251">
        <w:t>korttid</w:t>
      </w:r>
      <w:r w:rsidR="00BB6251">
        <w:t>s</w:t>
      </w:r>
      <w:r w:rsidR="00BB6251">
        <w:t>boliger</w:t>
      </w:r>
      <w:proofErr w:type="spellEnd"/>
      <w:r>
        <w:t xml:space="preserve"> er borgernes sundhedsprofil, kommunens vifte af tilbud og visitationspra</w:t>
      </w:r>
      <w:r>
        <w:t>k</w:t>
      </w:r>
      <w:r>
        <w:t>sis</w:t>
      </w:r>
      <w:r>
        <w:rPr>
          <w:rStyle w:val="Fodnotehenvisning"/>
          <w:rFonts w:eastAsiaTheme="majorEastAsia"/>
        </w:rPr>
        <w:footnoteReference w:id="15"/>
      </w:r>
      <w:r>
        <w:t>. Ændres faktorerne, ændres det optimale antal pladser. Det er afgørende at holde denne kausalitet for øje.</w:t>
      </w:r>
    </w:p>
    <w:p w:rsidR="001D0745" w:rsidRDefault="001D0745" w:rsidP="001D0745"/>
    <w:p w:rsidR="001D0745" w:rsidRDefault="001D0745" w:rsidP="001D0745">
      <w:r w:rsidRPr="009E552C">
        <w:t xml:space="preserve">Efterspørgslen kommer jf. </w:t>
      </w:r>
      <w:r w:rsidR="000B05D0">
        <w:fldChar w:fldCharType="begin"/>
      </w:r>
      <w:r w:rsidR="0069712D">
        <w:instrText xml:space="preserve"> REF _Ref411415580 \h </w:instrText>
      </w:r>
      <w:r w:rsidR="000B05D0">
        <w:fldChar w:fldCharType="separate"/>
      </w:r>
      <w:r w:rsidR="004C2CB3">
        <w:t xml:space="preserve">Tabel </w:t>
      </w:r>
      <w:r w:rsidR="004C2CB3">
        <w:rPr>
          <w:noProof/>
        </w:rPr>
        <w:t>14</w:t>
      </w:r>
      <w:r w:rsidR="004C2CB3">
        <w:t xml:space="preserve">: </w:t>
      </w:r>
      <w:proofErr w:type="spellStart"/>
      <w:r w:rsidR="004C2CB3">
        <w:t>Ind-</w:t>
      </w:r>
      <w:proofErr w:type="spellEnd"/>
      <w:r w:rsidR="004C2CB3">
        <w:t xml:space="preserve"> og udskrivningsmønstret</w:t>
      </w:r>
      <w:r w:rsidR="004C2CB3" w:rsidRPr="00655BA4">
        <w:t xml:space="preserve"> på Lindehavens </w:t>
      </w:r>
      <w:proofErr w:type="spellStart"/>
      <w:r w:rsidR="00BB6251">
        <w:t>korttidsboliger</w:t>
      </w:r>
      <w:proofErr w:type="spellEnd"/>
      <w:r w:rsidR="004C2CB3" w:rsidRPr="00655BA4">
        <w:t xml:space="preserve"> efter 2014</w:t>
      </w:r>
      <w:r w:rsidR="000B05D0">
        <w:fldChar w:fldCharType="end"/>
      </w:r>
      <w:r w:rsidR="0069712D">
        <w:t xml:space="preserve"> </w:t>
      </w:r>
      <w:r w:rsidRPr="009E552C">
        <w:t>to steder fra: fra private boliger eller fra Sygehu</w:t>
      </w:r>
      <w:r>
        <w:t>se. Te</w:t>
      </w:r>
      <w:r>
        <w:t>o</w:t>
      </w:r>
      <w:r>
        <w:t xml:space="preserve">retisk kan det også </w:t>
      </w:r>
      <w:r w:rsidR="004C2CB3">
        <w:t>ske fra p</w:t>
      </w:r>
      <w:r>
        <w:t xml:space="preserve">lejebolig, men i praksis </w:t>
      </w:r>
      <w:r w:rsidR="004C2CB3">
        <w:t xml:space="preserve">er det en </w:t>
      </w:r>
      <w:r>
        <w:t xml:space="preserve">undtagelse. </w:t>
      </w:r>
    </w:p>
    <w:p w:rsidR="001D0745" w:rsidRDefault="001D0745" w:rsidP="001D0745"/>
    <w:p w:rsidR="001D0745" w:rsidRDefault="001D0745" w:rsidP="001D0745">
      <w:r>
        <w:t xml:space="preserve">I 2014 var der i alt 128 udskrivninger af borgere fra Lindehavens 19 </w:t>
      </w:r>
      <w:proofErr w:type="spellStart"/>
      <w:r w:rsidR="00BB6251">
        <w:t>korttidsbol</w:t>
      </w:r>
      <w:r w:rsidR="00BB6251">
        <w:t>i</w:t>
      </w:r>
      <w:r w:rsidR="00BB6251">
        <w:t>ger</w:t>
      </w:r>
      <w:proofErr w:type="spellEnd"/>
      <w:r>
        <w:rPr>
          <w:rStyle w:val="Fodnotehenvisning"/>
          <w:rFonts w:eastAsiaTheme="majorEastAsia"/>
        </w:rPr>
        <w:footnoteReference w:id="16"/>
      </w:r>
      <w:r>
        <w:t>. De 128 borgere blev i hovedsagen indskrevet fra sygehuse (105), mens 23 borgere blev indskrevet fra privat bolig. Formålet var primært at modtage geno</w:t>
      </w:r>
      <w:r>
        <w:t>p</w:t>
      </w:r>
      <w:r>
        <w:t>træning. På udskrivningssiden blev knap 61 pct. udskrevet til privat bolig, 19 pct. til plejebolig og godt 10 pct. blev indlagt/genindlagt på sygehus.</w:t>
      </w:r>
    </w:p>
    <w:p w:rsidR="001F638E" w:rsidRDefault="001F638E">
      <w:r>
        <w:br w:type="page"/>
      </w:r>
    </w:p>
    <w:p w:rsidR="001D0745" w:rsidRDefault="001D0745" w:rsidP="001D0745">
      <w:pPr>
        <w:pStyle w:val="Billedtekst"/>
      </w:pPr>
      <w:bookmarkStart w:id="74" w:name="_Ref411329162"/>
      <w:bookmarkStart w:id="75" w:name="_Ref411415580"/>
      <w:bookmarkStart w:id="76" w:name="_Toc411506632"/>
      <w:bookmarkStart w:id="77" w:name="_Toc414519485"/>
      <w:r>
        <w:lastRenderedPageBreak/>
        <w:t xml:space="preserve">Tabel </w:t>
      </w:r>
      <w:fldSimple w:instr=" SEQ Tabel \* ARABIC ">
        <w:r w:rsidR="0017261E">
          <w:rPr>
            <w:noProof/>
          </w:rPr>
          <w:t>14</w:t>
        </w:r>
      </w:fldSimple>
      <w:bookmarkEnd w:id="74"/>
      <w:r>
        <w:t xml:space="preserve">: </w:t>
      </w:r>
      <w:proofErr w:type="spellStart"/>
      <w:r>
        <w:t>Ind-</w:t>
      </w:r>
      <w:proofErr w:type="spellEnd"/>
      <w:r>
        <w:t xml:space="preserve"> og udskrivningsmønstret</w:t>
      </w:r>
      <w:r w:rsidRPr="00655BA4">
        <w:t xml:space="preserve"> på Lindehavens </w:t>
      </w:r>
      <w:proofErr w:type="spellStart"/>
      <w:r w:rsidR="00BB6251">
        <w:t>korttidsboliger</w:t>
      </w:r>
      <w:proofErr w:type="spellEnd"/>
      <w:r w:rsidRPr="00655BA4">
        <w:t xml:space="preserve"> efter 2014</w:t>
      </w:r>
      <w:bookmarkEnd w:id="75"/>
      <w:bookmarkEnd w:id="76"/>
      <w:bookmarkEnd w:id="77"/>
    </w:p>
    <w:tbl>
      <w:tblPr>
        <w:tblW w:w="7900" w:type="dxa"/>
        <w:tblInd w:w="65" w:type="dxa"/>
        <w:tblCellMar>
          <w:left w:w="70" w:type="dxa"/>
          <w:right w:w="70" w:type="dxa"/>
        </w:tblCellMar>
        <w:tblLook w:val="04A0"/>
      </w:tblPr>
      <w:tblGrid>
        <w:gridCol w:w="1900"/>
        <w:gridCol w:w="1120"/>
        <w:gridCol w:w="980"/>
        <w:gridCol w:w="980"/>
        <w:gridCol w:w="980"/>
        <w:gridCol w:w="980"/>
        <w:gridCol w:w="960"/>
      </w:tblGrid>
      <w:tr w:rsidR="001D0745" w:rsidRPr="00004BBD" w:rsidTr="00F335D4">
        <w:trPr>
          <w:trHeight w:val="624"/>
        </w:trPr>
        <w:tc>
          <w:tcPr>
            <w:tcW w:w="1900" w:type="dxa"/>
            <w:tcBorders>
              <w:top w:val="single" w:sz="4" w:space="0" w:color="auto"/>
              <w:left w:val="single" w:sz="4" w:space="0" w:color="auto"/>
              <w:bottom w:val="nil"/>
              <w:right w:val="nil"/>
            </w:tcBorders>
            <w:shd w:val="clear" w:color="000000" w:fill="C5D9F1"/>
            <w:noWrap/>
            <w:vAlign w:val="bottom"/>
            <w:hideMark/>
          </w:tcPr>
          <w:p w:rsidR="001D0745" w:rsidRPr="00004BBD" w:rsidRDefault="001D0745" w:rsidP="00F335D4">
            <w:pPr>
              <w:rPr>
                <w:rFonts w:ascii="Calibri" w:hAnsi="Calibri"/>
                <w:b/>
                <w:color w:val="000000"/>
                <w:sz w:val="22"/>
                <w:szCs w:val="22"/>
              </w:rPr>
            </w:pPr>
            <w:r w:rsidRPr="00004BBD">
              <w:rPr>
                <w:rFonts w:ascii="Calibri" w:hAnsi="Calibri"/>
                <w:color w:val="000000"/>
                <w:sz w:val="22"/>
                <w:szCs w:val="22"/>
              </w:rPr>
              <w:t> </w:t>
            </w:r>
            <w:r w:rsidRPr="00004BBD">
              <w:rPr>
                <w:rFonts w:ascii="Calibri" w:hAnsi="Calibri"/>
                <w:b/>
                <w:color w:val="000000"/>
                <w:sz w:val="22"/>
                <w:szCs w:val="22"/>
              </w:rPr>
              <w:t>Indskrevet fra:</w:t>
            </w:r>
          </w:p>
        </w:tc>
        <w:tc>
          <w:tcPr>
            <w:tcW w:w="1120" w:type="dxa"/>
            <w:tcBorders>
              <w:top w:val="single" w:sz="4" w:space="0" w:color="auto"/>
              <w:left w:val="single" w:sz="4" w:space="0" w:color="auto"/>
              <w:bottom w:val="nil"/>
              <w:right w:val="nil"/>
            </w:tcBorders>
            <w:shd w:val="clear" w:color="000000" w:fill="C5D9F1"/>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Fra syg</w:t>
            </w:r>
            <w:r w:rsidRPr="00004BBD">
              <w:rPr>
                <w:rFonts w:ascii="Calibri" w:hAnsi="Calibri"/>
                <w:color w:val="000000"/>
                <w:sz w:val="22"/>
                <w:szCs w:val="22"/>
              </w:rPr>
              <w:t>e</w:t>
            </w:r>
            <w:r w:rsidRPr="00004BBD">
              <w:rPr>
                <w:rFonts w:ascii="Calibri" w:hAnsi="Calibri"/>
                <w:color w:val="000000"/>
                <w:sz w:val="22"/>
                <w:szCs w:val="22"/>
              </w:rPr>
              <w:t>hus</w:t>
            </w:r>
          </w:p>
        </w:tc>
        <w:tc>
          <w:tcPr>
            <w:tcW w:w="980" w:type="dxa"/>
            <w:tcBorders>
              <w:top w:val="single" w:sz="4" w:space="0" w:color="auto"/>
              <w:left w:val="nil"/>
              <w:bottom w:val="nil"/>
              <w:right w:val="single" w:sz="4" w:space="0" w:color="auto"/>
            </w:tcBorders>
            <w:shd w:val="clear" w:color="000000" w:fill="C5D9F1"/>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Privat bolig</w:t>
            </w:r>
          </w:p>
        </w:tc>
        <w:tc>
          <w:tcPr>
            <w:tcW w:w="980" w:type="dxa"/>
            <w:tcBorders>
              <w:top w:val="single" w:sz="4" w:space="0" w:color="auto"/>
              <w:left w:val="single" w:sz="4" w:space="0" w:color="auto"/>
              <w:bottom w:val="nil"/>
              <w:right w:val="nil"/>
            </w:tcBorders>
            <w:shd w:val="clear" w:color="000000" w:fill="8DB4E3"/>
            <w:vAlign w:val="bottom"/>
            <w:hideMark/>
          </w:tcPr>
          <w:p w:rsidR="001D0745" w:rsidRPr="00004BBD" w:rsidRDefault="001D0745" w:rsidP="00F335D4">
            <w:pPr>
              <w:jc w:val="center"/>
              <w:rPr>
                <w:rFonts w:ascii="Calibri" w:hAnsi="Calibri"/>
                <w:color w:val="000000"/>
                <w:sz w:val="22"/>
                <w:szCs w:val="22"/>
              </w:rPr>
            </w:pPr>
            <w:proofErr w:type="spellStart"/>
            <w:r w:rsidRPr="00004BBD">
              <w:rPr>
                <w:rFonts w:ascii="Calibri" w:hAnsi="Calibri"/>
                <w:color w:val="000000"/>
                <w:sz w:val="22"/>
                <w:szCs w:val="22"/>
              </w:rPr>
              <w:t>Gen-optræn</w:t>
            </w:r>
            <w:proofErr w:type="spellEnd"/>
            <w:r w:rsidRPr="00004BBD">
              <w:rPr>
                <w:rFonts w:ascii="Calibri" w:hAnsi="Calibri"/>
                <w:color w:val="000000"/>
                <w:sz w:val="22"/>
                <w:szCs w:val="22"/>
              </w:rPr>
              <w:t>.</w:t>
            </w:r>
          </w:p>
        </w:tc>
        <w:tc>
          <w:tcPr>
            <w:tcW w:w="980" w:type="dxa"/>
            <w:tcBorders>
              <w:top w:val="single" w:sz="4" w:space="0" w:color="auto"/>
              <w:left w:val="nil"/>
              <w:bottom w:val="nil"/>
              <w:right w:val="nil"/>
            </w:tcBorders>
            <w:shd w:val="clear" w:color="000000" w:fill="8DB4E3"/>
            <w:vAlign w:val="bottom"/>
            <w:hideMark/>
          </w:tcPr>
          <w:p w:rsidR="001D0745" w:rsidRPr="00004BBD" w:rsidRDefault="001D0745" w:rsidP="00F335D4">
            <w:pPr>
              <w:jc w:val="center"/>
              <w:rPr>
                <w:rFonts w:ascii="Calibri" w:hAnsi="Calibri"/>
                <w:color w:val="000000"/>
                <w:sz w:val="22"/>
                <w:szCs w:val="22"/>
              </w:rPr>
            </w:pPr>
            <w:proofErr w:type="spellStart"/>
            <w:r w:rsidRPr="00004BBD">
              <w:rPr>
                <w:rFonts w:ascii="Calibri" w:hAnsi="Calibri"/>
                <w:color w:val="000000"/>
                <w:sz w:val="22"/>
                <w:szCs w:val="22"/>
              </w:rPr>
              <w:t>Vedlige-holdelse</w:t>
            </w:r>
            <w:proofErr w:type="spellEnd"/>
          </w:p>
        </w:tc>
        <w:tc>
          <w:tcPr>
            <w:tcW w:w="980" w:type="dxa"/>
            <w:tcBorders>
              <w:top w:val="single" w:sz="4" w:space="0" w:color="auto"/>
              <w:left w:val="single" w:sz="4" w:space="0" w:color="auto"/>
              <w:bottom w:val="nil"/>
              <w:right w:val="single" w:sz="4" w:space="0" w:color="auto"/>
            </w:tcBorders>
            <w:shd w:val="clear" w:color="000000" w:fill="C5D9F1"/>
            <w:vAlign w:val="center"/>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I alt</w:t>
            </w:r>
          </w:p>
        </w:tc>
        <w:tc>
          <w:tcPr>
            <w:tcW w:w="960" w:type="dxa"/>
            <w:tcBorders>
              <w:top w:val="single" w:sz="4" w:space="0" w:color="auto"/>
              <w:left w:val="nil"/>
              <w:bottom w:val="nil"/>
              <w:right w:val="single" w:sz="4" w:space="0" w:color="auto"/>
            </w:tcBorders>
            <w:shd w:val="clear" w:color="000000" w:fill="C5D9F1"/>
            <w:vAlign w:val="center"/>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Pct.</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roofErr w:type="spellStart"/>
            <w:r w:rsidRPr="00004BBD">
              <w:rPr>
                <w:rFonts w:ascii="Calibri" w:hAnsi="Calibri"/>
                <w:color w:val="000000"/>
                <w:sz w:val="22"/>
                <w:szCs w:val="22"/>
              </w:rPr>
              <w:t>Korttidsbolig</w:t>
            </w:r>
            <w:proofErr w:type="spellEnd"/>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96</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16</w:t>
            </w: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73</w:t>
            </w:r>
          </w:p>
        </w:tc>
        <w:tc>
          <w:tcPr>
            <w:tcW w:w="980" w:type="dxa"/>
            <w:tcBorders>
              <w:top w:val="nil"/>
              <w:left w:val="nil"/>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39</w:t>
            </w: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112</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87,5</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Demensbolig</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9</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7</w:t>
            </w: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0</w:t>
            </w:r>
          </w:p>
        </w:tc>
        <w:tc>
          <w:tcPr>
            <w:tcW w:w="980" w:type="dxa"/>
            <w:tcBorders>
              <w:top w:val="nil"/>
              <w:left w:val="nil"/>
              <w:bottom w:val="nil"/>
              <w:right w:val="nil"/>
            </w:tcBorders>
            <w:shd w:val="clear" w:color="auto" w:fill="auto"/>
            <w:noWrap/>
            <w:vAlign w:val="bottom"/>
            <w:hideMark/>
          </w:tcPr>
          <w:p w:rsidR="001D0745" w:rsidRPr="00004BBD" w:rsidRDefault="001D0745" w:rsidP="00F335D4">
            <w:pPr>
              <w:jc w:val="center"/>
              <w:rPr>
                <w:rFonts w:ascii="Calibri" w:hAnsi="Calibri"/>
                <w:color w:val="000000"/>
                <w:sz w:val="22"/>
                <w:szCs w:val="22"/>
              </w:rPr>
            </w:pPr>
            <w:r w:rsidRPr="00004BBD">
              <w:rPr>
                <w:rFonts w:ascii="Calibri" w:hAnsi="Calibri"/>
                <w:color w:val="000000"/>
                <w:sz w:val="22"/>
                <w:szCs w:val="22"/>
              </w:rPr>
              <w:t>0</w:t>
            </w: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16</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12,5</w:t>
            </w:r>
          </w:p>
        </w:tc>
      </w:tr>
      <w:tr w:rsidR="001D0745" w:rsidRPr="00004BBD" w:rsidTr="00F335D4">
        <w:trPr>
          <w:trHeight w:val="288"/>
        </w:trPr>
        <w:tc>
          <w:tcPr>
            <w:tcW w:w="190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rPr>
                <w:rFonts w:ascii="Calibri" w:hAnsi="Calibri"/>
                <w:b/>
                <w:bCs/>
                <w:color w:val="000000"/>
                <w:sz w:val="22"/>
                <w:szCs w:val="22"/>
              </w:rPr>
            </w:pPr>
            <w:r w:rsidRPr="00004BBD">
              <w:rPr>
                <w:rFonts w:ascii="Calibri" w:hAnsi="Calibri"/>
                <w:b/>
                <w:bCs/>
                <w:color w:val="000000"/>
                <w:sz w:val="22"/>
                <w:szCs w:val="22"/>
              </w:rPr>
              <w:t>I alt</w:t>
            </w:r>
          </w:p>
        </w:tc>
        <w:tc>
          <w:tcPr>
            <w:tcW w:w="112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105</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23</w:t>
            </w:r>
          </w:p>
        </w:tc>
        <w:tc>
          <w:tcPr>
            <w:tcW w:w="98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73</w:t>
            </w:r>
          </w:p>
        </w:tc>
        <w:tc>
          <w:tcPr>
            <w:tcW w:w="980" w:type="dxa"/>
            <w:tcBorders>
              <w:top w:val="single" w:sz="4" w:space="0" w:color="auto"/>
              <w:left w:val="nil"/>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39</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128</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100,0</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b/>
                <w:bCs/>
                <w:color w:val="000000"/>
                <w:sz w:val="22"/>
                <w:szCs w:val="22"/>
              </w:rPr>
            </w:pPr>
            <w:r w:rsidRPr="00004BBD">
              <w:rPr>
                <w:rFonts w:ascii="Calibri" w:hAnsi="Calibri"/>
                <w:b/>
                <w:bCs/>
                <w:color w:val="000000"/>
                <w:sz w:val="22"/>
                <w:szCs w:val="22"/>
              </w:rPr>
              <w:t>Udskrevet til:</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rPr>
                <w:rFonts w:ascii="Calibri" w:hAnsi="Calibri"/>
                <w:b/>
                <w:bCs/>
                <w:color w:val="000000"/>
                <w:sz w:val="22"/>
                <w:szCs w:val="22"/>
              </w:rPr>
            </w:pPr>
            <w:r w:rsidRPr="00004BBD">
              <w:rPr>
                <w:rFonts w:ascii="Calibri" w:hAnsi="Calibri"/>
                <w:b/>
                <w:bCs/>
                <w:color w:val="000000"/>
                <w:sz w:val="22"/>
                <w:szCs w:val="22"/>
              </w:rPr>
              <w:t> </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 </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Privat bolig</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78</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60,9</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Plejebolig</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24</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18,8</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Død</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11</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8,6</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Sygehus</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13</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10,2</w:t>
            </w:r>
          </w:p>
        </w:tc>
      </w:tr>
      <w:tr w:rsidR="001D0745" w:rsidRPr="00004BBD" w:rsidTr="00F335D4">
        <w:trPr>
          <w:trHeight w:val="288"/>
        </w:trPr>
        <w:tc>
          <w:tcPr>
            <w:tcW w:w="190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fort. indskrevet</w:t>
            </w:r>
          </w:p>
        </w:tc>
        <w:tc>
          <w:tcPr>
            <w:tcW w:w="112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r w:rsidRPr="00004BBD">
              <w:rPr>
                <w:rFonts w:ascii="Calibri" w:hAnsi="Calibri"/>
                <w:color w:val="000000"/>
                <w:sz w:val="22"/>
                <w:szCs w:val="22"/>
              </w:rPr>
              <w:t> </w:t>
            </w:r>
          </w:p>
        </w:tc>
        <w:tc>
          <w:tcPr>
            <w:tcW w:w="980" w:type="dxa"/>
            <w:tcBorders>
              <w:top w:val="nil"/>
              <w:left w:val="nil"/>
              <w:bottom w:val="nil"/>
              <w:right w:val="single" w:sz="4" w:space="0" w:color="auto"/>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nil"/>
              <w:bottom w:val="nil"/>
              <w:right w:val="nil"/>
            </w:tcBorders>
            <w:shd w:val="clear" w:color="auto" w:fill="auto"/>
            <w:noWrap/>
            <w:vAlign w:val="bottom"/>
            <w:hideMark/>
          </w:tcPr>
          <w:p w:rsidR="001D0745" w:rsidRPr="00004BBD" w:rsidRDefault="001D0745" w:rsidP="00F335D4">
            <w:pPr>
              <w:rPr>
                <w:rFonts w:ascii="Calibri" w:hAnsi="Calibri"/>
                <w:color w:val="000000"/>
                <w:sz w:val="22"/>
                <w:szCs w:val="22"/>
              </w:rPr>
            </w:pPr>
          </w:p>
        </w:tc>
        <w:tc>
          <w:tcPr>
            <w:tcW w:w="980" w:type="dxa"/>
            <w:tcBorders>
              <w:top w:val="nil"/>
              <w:left w:val="single" w:sz="4" w:space="0" w:color="auto"/>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2</w:t>
            </w:r>
          </w:p>
        </w:tc>
        <w:tc>
          <w:tcPr>
            <w:tcW w:w="960" w:type="dxa"/>
            <w:tcBorders>
              <w:top w:val="nil"/>
              <w:left w:val="nil"/>
              <w:bottom w:val="nil"/>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1,6</w:t>
            </w:r>
          </w:p>
        </w:tc>
      </w:tr>
      <w:tr w:rsidR="001D0745" w:rsidRPr="00004BBD" w:rsidTr="00F335D4">
        <w:trPr>
          <w:trHeight w:val="288"/>
        </w:trPr>
        <w:tc>
          <w:tcPr>
            <w:tcW w:w="190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rPr>
                <w:rFonts w:ascii="Calibri" w:hAnsi="Calibri"/>
                <w:b/>
                <w:bCs/>
                <w:color w:val="000000"/>
                <w:sz w:val="22"/>
                <w:szCs w:val="22"/>
              </w:rPr>
            </w:pPr>
            <w:r w:rsidRPr="00004BBD">
              <w:rPr>
                <w:rFonts w:ascii="Calibri" w:hAnsi="Calibri"/>
                <w:b/>
                <w:bCs/>
                <w:color w:val="000000"/>
                <w:sz w:val="22"/>
                <w:szCs w:val="22"/>
              </w:rPr>
              <w:t>I alt</w:t>
            </w:r>
          </w:p>
        </w:tc>
        <w:tc>
          <w:tcPr>
            <w:tcW w:w="112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 </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 </w:t>
            </w:r>
          </w:p>
        </w:tc>
        <w:tc>
          <w:tcPr>
            <w:tcW w:w="980" w:type="dxa"/>
            <w:tcBorders>
              <w:top w:val="single" w:sz="4" w:space="0" w:color="auto"/>
              <w:left w:val="single" w:sz="4" w:space="0" w:color="auto"/>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 </w:t>
            </w:r>
          </w:p>
        </w:tc>
        <w:tc>
          <w:tcPr>
            <w:tcW w:w="980" w:type="dxa"/>
            <w:tcBorders>
              <w:top w:val="single" w:sz="4" w:space="0" w:color="auto"/>
              <w:left w:val="nil"/>
              <w:bottom w:val="single" w:sz="4" w:space="0" w:color="auto"/>
              <w:right w:val="nil"/>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 </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128</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D0745" w:rsidRPr="00004BBD" w:rsidRDefault="001D0745" w:rsidP="00F335D4">
            <w:pPr>
              <w:jc w:val="center"/>
              <w:rPr>
                <w:rFonts w:ascii="Calibri" w:hAnsi="Calibri"/>
                <w:b/>
                <w:bCs/>
                <w:color w:val="000000"/>
                <w:sz w:val="22"/>
                <w:szCs w:val="22"/>
              </w:rPr>
            </w:pPr>
            <w:r w:rsidRPr="00004BBD">
              <w:rPr>
                <w:rFonts w:ascii="Calibri" w:hAnsi="Calibri"/>
                <w:b/>
                <w:bCs/>
                <w:color w:val="000000"/>
                <w:sz w:val="22"/>
                <w:szCs w:val="22"/>
              </w:rPr>
              <w:t>100,0</w:t>
            </w:r>
          </w:p>
        </w:tc>
      </w:tr>
    </w:tbl>
    <w:p w:rsidR="001D0745" w:rsidRDefault="001D0745" w:rsidP="001D0745">
      <w:pPr>
        <w:rPr>
          <w:sz w:val="16"/>
          <w:szCs w:val="16"/>
        </w:rPr>
      </w:pPr>
      <w:r w:rsidRPr="003A4051">
        <w:rPr>
          <w:sz w:val="16"/>
          <w:szCs w:val="16"/>
        </w:rPr>
        <w:t>Kilde:</w:t>
      </w:r>
      <w:r>
        <w:rPr>
          <w:sz w:val="16"/>
          <w:szCs w:val="16"/>
        </w:rPr>
        <w:t xml:space="preserve"> Egne beregninger</w:t>
      </w:r>
    </w:p>
    <w:p w:rsidR="001D0745" w:rsidRPr="00004BBD" w:rsidRDefault="001D0745" w:rsidP="001D0745"/>
    <w:p w:rsidR="0069712D" w:rsidRDefault="0069712D" w:rsidP="001D0745">
      <w:r>
        <w:t>Der er således en cirkulær efterspørgsel, – en strøm af borgere der løber fra privat bolig til sygehus til døgnplads og retur til privat bolig.</w:t>
      </w:r>
    </w:p>
    <w:p w:rsidR="0069712D" w:rsidRDefault="0069712D" w:rsidP="001D0745"/>
    <w:p w:rsidR="0069712D" w:rsidRDefault="0069712D" w:rsidP="0069712D">
      <w:pPr>
        <w:pStyle w:val="Billedtekst"/>
      </w:pPr>
      <w:bookmarkStart w:id="78" w:name="_Toc411506628"/>
      <w:bookmarkStart w:id="79" w:name="_Toc414519469"/>
      <w:r>
        <w:t xml:space="preserve">Figur </w:t>
      </w:r>
      <w:fldSimple w:instr=" SEQ Figur \* ARABIC ">
        <w:r w:rsidR="00B6715E">
          <w:rPr>
            <w:noProof/>
          </w:rPr>
          <w:t>10</w:t>
        </w:r>
      </w:fldSimple>
      <w:r>
        <w:t>: Cirkulært sygeforløb af borgeren</w:t>
      </w:r>
      <w:bookmarkEnd w:id="78"/>
      <w:bookmarkEnd w:id="79"/>
    </w:p>
    <w:p w:rsidR="0069712D" w:rsidRDefault="0069712D" w:rsidP="0069712D">
      <w:r w:rsidRPr="002B6885">
        <w:rPr>
          <w:noProof/>
        </w:rPr>
        <w:drawing>
          <wp:inline distT="0" distB="0" distL="0" distR="0">
            <wp:extent cx="3819524" cy="2009775"/>
            <wp:effectExtent l="0" t="0" r="0" b="0"/>
            <wp:docPr id="26"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rsidR="0069712D" w:rsidRPr="0003388A" w:rsidRDefault="0069712D" w:rsidP="0069712D">
      <w:pPr>
        <w:rPr>
          <w:sz w:val="16"/>
          <w:szCs w:val="16"/>
        </w:rPr>
      </w:pPr>
      <w:r w:rsidRPr="0003388A">
        <w:rPr>
          <w:sz w:val="16"/>
          <w:szCs w:val="16"/>
        </w:rPr>
        <w:t xml:space="preserve">Kilde: </w:t>
      </w:r>
      <w:r>
        <w:rPr>
          <w:sz w:val="16"/>
          <w:szCs w:val="16"/>
        </w:rPr>
        <w:t>Egen beregning</w:t>
      </w:r>
    </w:p>
    <w:p w:rsidR="0069712D" w:rsidRDefault="0069712D" w:rsidP="0069712D"/>
    <w:p w:rsidR="0069712D" w:rsidRDefault="0069712D" w:rsidP="0069712D">
      <w:r>
        <w:t xml:space="preserve">Det cirkulære forløb lægger op til, at der fokuseres langt stærkere på forebyggelse i hjemmeplejen / sygeplejen. Målgruppen er den ældre medicinske patient </w:t>
      </w:r>
      <w:proofErr w:type="spellStart"/>
      <w:r>
        <w:t>mhp</w:t>
      </w:r>
      <w:proofErr w:type="spellEnd"/>
      <w:r>
        <w:t>. o</w:t>
      </w:r>
      <w:r>
        <w:t>p</w:t>
      </w:r>
      <w:r>
        <w:t xml:space="preserve">sporing og forebyggelse. Det </w:t>
      </w:r>
      <w:r w:rsidR="00F77ABD">
        <w:t>taler for</w:t>
      </w:r>
      <w:r>
        <w:t xml:space="preserve">, at hjemmeplejen (og familielægen) gives handlemuligheder til </w:t>
      </w:r>
      <w:proofErr w:type="spellStart"/>
      <w:r w:rsidR="00BB6251">
        <w:t>korttidsboliger</w:t>
      </w:r>
      <w:proofErr w:type="spellEnd"/>
      <w:r>
        <w:t xml:space="preserve"> som led i en koordinerede præhospital indsats. </w:t>
      </w:r>
      <w:r w:rsidR="00F77ABD">
        <w:t>Borgere bør opspores rettidigt og tilbydes et kortere ophold på en døgnplads frem for et forløb, der ender i en sygehusindlæggelse.</w:t>
      </w:r>
    </w:p>
    <w:p w:rsidR="0069712D" w:rsidRDefault="0069712D" w:rsidP="0069712D"/>
    <w:p w:rsidR="00F77ABD" w:rsidRDefault="0069712D" w:rsidP="00F77ABD">
      <w:r>
        <w:t>Det cirkulære forløb trækker både kapacitetsbehovet for pladser og den efterfø</w:t>
      </w:r>
      <w:r>
        <w:t>l</w:t>
      </w:r>
      <w:r>
        <w:t xml:space="preserve">gende hjælp i hjemmet højere op end, hvad en målrettet forebyggelsesindsats i hjemmet vil koste. </w:t>
      </w:r>
      <w:r w:rsidR="00F77ABD">
        <w:t>Alt sammen taler for, at styrke forebyggelsessiden i hjemmepl</w:t>
      </w:r>
      <w:r w:rsidR="00F77ABD">
        <w:t>e</w:t>
      </w:r>
      <w:r w:rsidR="00F77ABD">
        <w:t xml:space="preserve">jen/sygeplejen; </w:t>
      </w:r>
    </w:p>
    <w:p w:rsidR="0069712D" w:rsidRDefault="0069712D" w:rsidP="0069712D"/>
    <w:p w:rsidR="0069712D" w:rsidRDefault="0069712D" w:rsidP="0069712D">
      <w:r>
        <w:t>I denne sammenhæng bør medtænkes, at ud af ca. 11.000 sygehusindlæggelser i 2014 løber langt den største strøm af borgere direkte fra privat bolig – til sygehus – og retur til privat bolig. Det betyder, at det cirkulære forløb formodentligt kan br</w:t>
      </w:r>
      <w:r>
        <w:t>e</w:t>
      </w:r>
      <w:r>
        <w:t>des ud til langt flere borgere og med et langt større økonomisk besparelsespote</w:t>
      </w:r>
      <w:r>
        <w:t>n</w:t>
      </w:r>
      <w:r>
        <w:t>tiale, når det gælder forebyggelse af sygehusindlæggelser, genindlæggelser og a</w:t>
      </w:r>
      <w:r>
        <w:t>m</w:t>
      </w:r>
      <w:r>
        <w:t xml:space="preserve">bulante kontakter. </w:t>
      </w:r>
    </w:p>
    <w:p w:rsidR="0069712D" w:rsidRDefault="0069712D" w:rsidP="0069712D"/>
    <w:p w:rsidR="001D0745" w:rsidRDefault="001D0745" w:rsidP="001D0745">
      <w:r>
        <w:lastRenderedPageBreak/>
        <w:t xml:space="preserve">På Lindehaven var den gennemsnitlige indskrivningsperiode 53 dage (7,5 uge) og i gennemsnit var borgeren 76 år. En aldersfordeling fremgår af </w:t>
      </w:r>
      <w:r w:rsidR="000B05D0">
        <w:fldChar w:fldCharType="begin"/>
      </w:r>
      <w:r>
        <w:instrText xml:space="preserve"> REF _Ref411249329 \h </w:instrText>
      </w:r>
      <w:r w:rsidR="000B05D0">
        <w:fldChar w:fldCharType="separate"/>
      </w:r>
      <w:r>
        <w:t xml:space="preserve">Figur </w:t>
      </w:r>
      <w:r>
        <w:rPr>
          <w:noProof/>
        </w:rPr>
        <w:t>6</w:t>
      </w:r>
      <w:r w:rsidR="000B05D0">
        <w:fldChar w:fldCharType="end"/>
      </w:r>
      <w:r>
        <w:t xml:space="preserve"> </w:t>
      </w:r>
    </w:p>
    <w:p w:rsidR="001D0745" w:rsidRDefault="001D0745" w:rsidP="001D0745"/>
    <w:p w:rsidR="001D0745" w:rsidRDefault="001D0745" w:rsidP="001D0745">
      <w:pPr>
        <w:pStyle w:val="Billedtekst"/>
      </w:pPr>
      <w:bookmarkStart w:id="80" w:name="_Ref411249329"/>
      <w:bookmarkStart w:id="81" w:name="_Toc411506626"/>
      <w:bookmarkStart w:id="82" w:name="_Toc414519470"/>
      <w:r>
        <w:t xml:space="preserve">Figur </w:t>
      </w:r>
      <w:fldSimple w:instr=" SEQ Figur \* ARABIC ">
        <w:r w:rsidR="00B6715E">
          <w:rPr>
            <w:noProof/>
          </w:rPr>
          <w:t>11</w:t>
        </w:r>
      </w:fldSimple>
      <w:bookmarkEnd w:id="80"/>
      <w:r>
        <w:t xml:space="preserve">: Aldersfordeling på Lindehavens </w:t>
      </w:r>
      <w:proofErr w:type="spellStart"/>
      <w:r w:rsidR="00BB6251">
        <w:t>korttidsboliger</w:t>
      </w:r>
      <w:proofErr w:type="spellEnd"/>
      <w:r>
        <w:t xml:space="preserve"> efter 2014</w:t>
      </w:r>
      <w:bookmarkEnd w:id="81"/>
      <w:bookmarkEnd w:id="82"/>
    </w:p>
    <w:p w:rsidR="001D0745" w:rsidRDefault="001D0745" w:rsidP="001D0745">
      <w:r w:rsidRPr="00B43E49">
        <w:rPr>
          <w:noProof/>
        </w:rPr>
        <w:drawing>
          <wp:inline distT="0" distB="0" distL="0" distR="0">
            <wp:extent cx="3398520" cy="1508760"/>
            <wp:effectExtent l="19050" t="0" r="11430" b="0"/>
            <wp:docPr id="12"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1D0745" w:rsidRPr="001D4BB7" w:rsidRDefault="001D0745" w:rsidP="001D0745">
      <w:pPr>
        <w:rPr>
          <w:sz w:val="16"/>
          <w:szCs w:val="16"/>
        </w:rPr>
      </w:pPr>
      <w:r w:rsidRPr="001D4BB7">
        <w:rPr>
          <w:sz w:val="16"/>
          <w:szCs w:val="16"/>
        </w:rPr>
        <w:t xml:space="preserve">Kilde: </w:t>
      </w:r>
      <w:r>
        <w:rPr>
          <w:sz w:val="16"/>
          <w:szCs w:val="16"/>
        </w:rPr>
        <w:t>E</w:t>
      </w:r>
      <w:r w:rsidRPr="001D4BB7">
        <w:rPr>
          <w:sz w:val="16"/>
          <w:szCs w:val="16"/>
        </w:rPr>
        <w:t>gne beregninger</w:t>
      </w:r>
    </w:p>
    <w:p w:rsidR="00F71413" w:rsidRDefault="00F71413" w:rsidP="00F71413"/>
    <w:p w:rsidR="001D0745" w:rsidRPr="001F638E" w:rsidRDefault="001D0745" w:rsidP="001D0745">
      <w:pPr>
        <w:pStyle w:val="Overskrift2"/>
        <w:rPr>
          <w:sz w:val="22"/>
          <w:szCs w:val="22"/>
        </w:rPr>
      </w:pPr>
      <w:bookmarkStart w:id="83" w:name="_Toc411506560"/>
      <w:bookmarkStart w:id="84" w:name="_Toc414960287"/>
      <w:r w:rsidRPr="001F638E">
        <w:rPr>
          <w:sz w:val="22"/>
          <w:szCs w:val="22"/>
        </w:rPr>
        <w:t>Færdigmeldte borgere (Sygehuse)</w:t>
      </w:r>
      <w:bookmarkEnd w:id="83"/>
      <w:bookmarkEnd w:id="84"/>
    </w:p>
    <w:p w:rsidR="001D0745" w:rsidRDefault="001D0745" w:rsidP="001D0745">
      <w:r>
        <w:t>Ved udskrivning fra sygehus koordineres det med Ballerups visitation, hvor borg</w:t>
      </w:r>
      <w:r>
        <w:t>e</w:t>
      </w:r>
      <w:r>
        <w:t>ren skal udskrives til; privat bolig, døgnplads eller plejebolig</w:t>
      </w:r>
      <w:r>
        <w:rPr>
          <w:rStyle w:val="Fodnotehenvisning"/>
          <w:rFonts w:eastAsiaTheme="majorEastAsia"/>
        </w:rPr>
        <w:footnoteReference w:id="17"/>
      </w:r>
      <w:r>
        <w:t xml:space="preserve">. </w:t>
      </w:r>
    </w:p>
    <w:p w:rsidR="001D0745" w:rsidRDefault="001D0745" w:rsidP="001D0745">
      <w:pPr>
        <w:rPr>
          <w:u w:val="single"/>
        </w:rPr>
      </w:pPr>
    </w:p>
    <w:p w:rsidR="001D0745" w:rsidRDefault="001D0745" w:rsidP="001D0745">
      <w:r>
        <w:t>I 2013 var der i alt 207 borgere, der i kortere eller længere tid var indlagt på syg</w:t>
      </w:r>
      <w:r>
        <w:t>e</w:t>
      </w:r>
      <w:r>
        <w:t>huse efter at være færdigmeldt. Udgiften hertil beløb til 3,</w:t>
      </w:r>
      <w:r w:rsidRPr="009E552C">
        <w:t>8 mio. kr.</w:t>
      </w:r>
      <w:r>
        <w:t xml:space="preserve"> I 2014 var ta</w:t>
      </w:r>
      <w:r>
        <w:t>l</w:t>
      </w:r>
      <w:r>
        <w:t xml:space="preserve">lene henholdsvis 273 borgere og 5,2 mio. kr. I </w:t>
      </w:r>
      <w:r w:rsidR="000B05D0">
        <w:fldChar w:fldCharType="begin"/>
      </w:r>
      <w:r>
        <w:instrText xml:space="preserve"> REF _Ref411333821 \h </w:instrText>
      </w:r>
      <w:r w:rsidR="000B05D0">
        <w:fldChar w:fldCharType="separate"/>
      </w:r>
      <w:r>
        <w:t xml:space="preserve">Figur </w:t>
      </w:r>
      <w:r>
        <w:rPr>
          <w:noProof/>
        </w:rPr>
        <w:t>7</w:t>
      </w:r>
      <w:r w:rsidR="000B05D0">
        <w:fldChar w:fldCharType="end"/>
      </w:r>
      <w:r>
        <w:t xml:space="preserve"> ses fordelingen af indlagte borgere. Den typiske borger var 77 år og lå i 2013 9,9 dage og i 2014 9,8 dage til en pris á kr. 1.918 pr. døgn.</w:t>
      </w:r>
    </w:p>
    <w:p w:rsidR="001D0745" w:rsidRDefault="001D0745" w:rsidP="001D0745">
      <w:pPr>
        <w:pStyle w:val="Billedtekst"/>
      </w:pPr>
      <w:bookmarkStart w:id="85" w:name="_Ref411333821"/>
      <w:bookmarkStart w:id="86" w:name="_Ref411236123"/>
      <w:bookmarkStart w:id="87" w:name="_Toc411506627"/>
      <w:bookmarkStart w:id="88" w:name="_Toc414519471"/>
      <w:r>
        <w:t xml:space="preserve">Figur </w:t>
      </w:r>
      <w:fldSimple w:instr=" SEQ Figur \* ARABIC ">
        <w:r w:rsidR="00B6715E">
          <w:rPr>
            <w:noProof/>
          </w:rPr>
          <w:t>12</w:t>
        </w:r>
      </w:fldSimple>
      <w:bookmarkEnd w:id="85"/>
      <w:r>
        <w:t>: Udgifter og antal færdigmeldte borgere på sygehuse, 2013 og 2014</w:t>
      </w:r>
      <w:bookmarkEnd w:id="86"/>
      <w:bookmarkEnd w:id="87"/>
      <w:bookmarkEnd w:id="88"/>
    </w:p>
    <w:p w:rsidR="001D0745" w:rsidRDefault="001D0745" w:rsidP="001D0745">
      <w:r w:rsidRPr="002322BE">
        <w:rPr>
          <w:noProof/>
        </w:rPr>
        <w:drawing>
          <wp:inline distT="0" distB="0" distL="0" distR="0">
            <wp:extent cx="5303520" cy="2915920"/>
            <wp:effectExtent l="19050" t="0" r="11430" b="0"/>
            <wp:docPr id="15"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1D0745" w:rsidRPr="008F4123" w:rsidRDefault="001D0745" w:rsidP="001D0745">
      <w:pPr>
        <w:rPr>
          <w:sz w:val="16"/>
          <w:szCs w:val="16"/>
        </w:rPr>
      </w:pPr>
      <w:r w:rsidRPr="008F4123">
        <w:rPr>
          <w:sz w:val="16"/>
          <w:szCs w:val="16"/>
        </w:rPr>
        <w:t>Kilde:</w:t>
      </w:r>
      <w:r>
        <w:rPr>
          <w:sz w:val="16"/>
          <w:szCs w:val="16"/>
        </w:rPr>
        <w:t xml:space="preserve"> </w:t>
      </w:r>
      <w:proofErr w:type="spellStart"/>
      <w:r>
        <w:rPr>
          <w:sz w:val="16"/>
          <w:szCs w:val="16"/>
        </w:rPr>
        <w:t>eSundhed</w:t>
      </w:r>
      <w:proofErr w:type="spellEnd"/>
    </w:p>
    <w:p w:rsidR="001D0745" w:rsidRDefault="001D0745" w:rsidP="001D0745"/>
    <w:p w:rsidR="001D0745" w:rsidRDefault="001D0745" w:rsidP="001D0745">
      <w:r>
        <w:t>De borgere, som lå på sygehusene som færdigmeldte, var de borgere, som ikke umiddelbart kunne udskrives til eget hjem. Udskrivningsmulighed var således enten til døgnplads eller til plejebolig. Der er i høj grad tale om den ældre medicinske p</w:t>
      </w:r>
      <w:r>
        <w:t>a</w:t>
      </w:r>
      <w:r>
        <w:t>tient.</w:t>
      </w:r>
    </w:p>
    <w:p w:rsidR="001D0745" w:rsidRDefault="001D0745" w:rsidP="001D0745"/>
    <w:p w:rsidR="001D0745" w:rsidRDefault="001D0745" w:rsidP="001D0745">
      <w:r w:rsidRPr="009E552C">
        <w:lastRenderedPageBreak/>
        <w:t>I 2013 lå der i gennemsnit konstant 5,6 færdigmeldte borgere på sygehuse. I 2014 var tallet 7,4 jf.</w:t>
      </w:r>
      <w:r>
        <w:t xml:space="preserve"> </w:t>
      </w:r>
      <w:fldSimple w:instr=" REF _Ref411333821 \h  \* MERGEFORMAT ">
        <w:r>
          <w:t xml:space="preserve">Figur </w:t>
        </w:r>
        <w:r>
          <w:rPr>
            <w:noProof/>
          </w:rPr>
          <w:t>7</w:t>
        </w:r>
      </w:fldSimple>
      <w:r w:rsidRPr="009E552C">
        <w:t>. Det betyder, at skal problemet med færdigmeldte borgere</w:t>
      </w:r>
      <w:r>
        <w:t xml:space="preserve"> elimineres, så skal Ballerup have en modtagekapacitet svarende minimum til 5,6 </w:t>
      </w:r>
      <w:proofErr w:type="spellStart"/>
      <w:r w:rsidR="00BB6251">
        <w:t>korttidsboliger</w:t>
      </w:r>
      <w:proofErr w:type="spellEnd"/>
      <w:r>
        <w:t xml:space="preserve">. </w:t>
      </w:r>
    </w:p>
    <w:p w:rsidR="001D0745" w:rsidRDefault="001D0745" w:rsidP="001D0745"/>
    <w:p w:rsidR="001D0745" w:rsidRDefault="001D0745" w:rsidP="001D0745">
      <w:r>
        <w:t xml:space="preserve">Fremskrives 2014 til 2023 på grundlag af DBM samt indregning af effekten fra Sund aldring så vil behovet i 2018 være 8,0 </w:t>
      </w:r>
      <w:proofErr w:type="spellStart"/>
      <w:r w:rsidR="00BB6251">
        <w:t>korttidsboliger</w:t>
      </w:r>
      <w:proofErr w:type="spellEnd"/>
      <w:r>
        <w:t xml:space="preserve"> og i 2023 9 </w:t>
      </w:r>
      <w:proofErr w:type="spellStart"/>
      <w:r w:rsidR="00BB6251">
        <w:t>korttidsboliger</w:t>
      </w:r>
      <w:proofErr w:type="spellEnd"/>
      <w:r>
        <w:t>.</w:t>
      </w:r>
      <w:r w:rsidR="00786B30">
        <w:t xml:space="preserve"> Dette er kun til at tilfredsstile de færdigmeldte patienter fra sygehuse.</w:t>
      </w:r>
    </w:p>
    <w:p w:rsidR="001D0745" w:rsidRDefault="001D0745" w:rsidP="001D0745"/>
    <w:p w:rsidR="001D0745" w:rsidRDefault="001D0745" w:rsidP="001D0745">
      <w:pPr>
        <w:pStyle w:val="Billedtekst"/>
      </w:pPr>
      <w:bookmarkStart w:id="89" w:name="_Toc411506634"/>
      <w:bookmarkStart w:id="90" w:name="_Toc414519486"/>
      <w:r>
        <w:t xml:space="preserve">Tabel </w:t>
      </w:r>
      <w:fldSimple w:instr=" SEQ Tabel \* ARABIC ">
        <w:r w:rsidR="0017261E">
          <w:rPr>
            <w:noProof/>
          </w:rPr>
          <w:t>17</w:t>
        </w:r>
      </w:fldSimple>
      <w:r>
        <w:t xml:space="preserve">: </w:t>
      </w:r>
      <w:r w:rsidRPr="00CB0A27">
        <w:t xml:space="preserve">Behovet for </w:t>
      </w:r>
      <w:proofErr w:type="spellStart"/>
      <w:r w:rsidR="00BB6251">
        <w:t>korttidsboliger</w:t>
      </w:r>
      <w:proofErr w:type="spellEnd"/>
      <w:r w:rsidRPr="00CB0A27">
        <w:t xml:space="preserve"> til færdigmeldte borgere på sygehuse 2014-2023</w:t>
      </w:r>
      <w:bookmarkEnd w:id="89"/>
      <w:bookmarkEnd w:id="90"/>
    </w:p>
    <w:tbl>
      <w:tblPr>
        <w:tblW w:w="7680" w:type="dxa"/>
        <w:tblInd w:w="65" w:type="dxa"/>
        <w:tblCellMar>
          <w:left w:w="70" w:type="dxa"/>
          <w:right w:w="70" w:type="dxa"/>
        </w:tblCellMar>
        <w:tblLook w:val="04A0"/>
      </w:tblPr>
      <w:tblGrid>
        <w:gridCol w:w="2520"/>
        <w:gridCol w:w="860"/>
        <w:gridCol w:w="860"/>
        <w:gridCol w:w="860"/>
        <w:gridCol w:w="860"/>
        <w:gridCol w:w="860"/>
        <w:gridCol w:w="860"/>
      </w:tblGrid>
      <w:tr w:rsidR="001D0745" w:rsidRPr="00CB53D7" w:rsidTr="00F335D4">
        <w:trPr>
          <w:trHeight w:val="288"/>
        </w:trPr>
        <w:tc>
          <w:tcPr>
            <w:tcW w:w="2520" w:type="dxa"/>
            <w:tcBorders>
              <w:top w:val="single" w:sz="4" w:space="0" w:color="auto"/>
              <w:left w:val="single" w:sz="4" w:space="0" w:color="auto"/>
              <w:bottom w:val="single" w:sz="4" w:space="0" w:color="auto"/>
              <w:right w:val="nil"/>
            </w:tcBorders>
            <w:shd w:val="clear" w:color="000000" w:fill="C5D9F1"/>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 </w:t>
            </w:r>
          </w:p>
        </w:tc>
        <w:tc>
          <w:tcPr>
            <w:tcW w:w="860" w:type="dxa"/>
            <w:tcBorders>
              <w:top w:val="single" w:sz="4" w:space="0" w:color="auto"/>
              <w:left w:val="single" w:sz="4" w:space="0" w:color="auto"/>
              <w:bottom w:val="single" w:sz="4" w:space="0" w:color="auto"/>
              <w:right w:val="nil"/>
            </w:tcBorders>
            <w:shd w:val="clear" w:color="000000" w:fill="C5D9F1"/>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2013</w:t>
            </w:r>
          </w:p>
        </w:tc>
        <w:tc>
          <w:tcPr>
            <w:tcW w:w="860" w:type="dxa"/>
            <w:tcBorders>
              <w:top w:val="single" w:sz="4" w:space="0" w:color="auto"/>
              <w:left w:val="nil"/>
              <w:bottom w:val="single" w:sz="4" w:space="0" w:color="auto"/>
              <w:right w:val="nil"/>
            </w:tcBorders>
            <w:shd w:val="clear" w:color="000000" w:fill="C5D9F1"/>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2014</w:t>
            </w:r>
          </w:p>
        </w:tc>
        <w:tc>
          <w:tcPr>
            <w:tcW w:w="860" w:type="dxa"/>
            <w:tcBorders>
              <w:top w:val="single" w:sz="4" w:space="0" w:color="auto"/>
              <w:left w:val="single" w:sz="4" w:space="0" w:color="auto"/>
              <w:bottom w:val="single" w:sz="4" w:space="0" w:color="auto"/>
              <w:right w:val="nil"/>
            </w:tcBorders>
            <w:shd w:val="clear" w:color="000000" w:fill="8DB4E3"/>
            <w:noWrap/>
            <w:vAlign w:val="bottom"/>
            <w:hideMark/>
          </w:tcPr>
          <w:p w:rsidR="001D0745" w:rsidRPr="00CB53D7" w:rsidRDefault="001D0745" w:rsidP="00F335D4">
            <w:pPr>
              <w:jc w:val="right"/>
              <w:rPr>
                <w:rFonts w:ascii="Calibri" w:hAnsi="Calibri"/>
                <w:color w:val="000000"/>
                <w:sz w:val="22"/>
                <w:szCs w:val="22"/>
              </w:rPr>
            </w:pPr>
            <w:r w:rsidRPr="00CB53D7">
              <w:rPr>
                <w:rFonts w:ascii="Calibri" w:hAnsi="Calibri"/>
                <w:color w:val="000000"/>
                <w:sz w:val="22"/>
                <w:szCs w:val="22"/>
              </w:rPr>
              <w:t>2016</w:t>
            </w:r>
          </w:p>
        </w:tc>
        <w:tc>
          <w:tcPr>
            <w:tcW w:w="860" w:type="dxa"/>
            <w:tcBorders>
              <w:top w:val="single" w:sz="4" w:space="0" w:color="auto"/>
              <w:left w:val="nil"/>
              <w:bottom w:val="single" w:sz="4" w:space="0" w:color="auto"/>
              <w:right w:val="nil"/>
            </w:tcBorders>
            <w:shd w:val="clear" w:color="000000" w:fill="8DB4E3"/>
            <w:noWrap/>
            <w:vAlign w:val="bottom"/>
            <w:hideMark/>
          </w:tcPr>
          <w:p w:rsidR="001D0745" w:rsidRPr="00CB53D7" w:rsidRDefault="001D0745" w:rsidP="00F335D4">
            <w:pPr>
              <w:jc w:val="right"/>
              <w:rPr>
                <w:rFonts w:ascii="Calibri" w:hAnsi="Calibri"/>
                <w:color w:val="000000"/>
                <w:sz w:val="22"/>
                <w:szCs w:val="22"/>
              </w:rPr>
            </w:pPr>
            <w:r w:rsidRPr="00CB53D7">
              <w:rPr>
                <w:rFonts w:ascii="Calibri" w:hAnsi="Calibri"/>
                <w:color w:val="000000"/>
                <w:sz w:val="22"/>
                <w:szCs w:val="22"/>
              </w:rPr>
              <w:t>2018</w:t>
            </w:r>
          </w:p>
        </w:tc>
        <w:tc>
          <w:tcPr>
            <w:tcW w:w="860" w:type="dxa"/>
            <w:tcBorders>
              <w:top w:val="single" w:sz="4" w:space="0" w:color="auto"/>
              <w:left w:val="nil"/>
              <w:bottom w:val="single" w:sz="4" w:space="0" w:color="auto"/>
              <w:right w:val="nil"/>
            </w:tcBorders>
            <w:shd w:val="clear" w:color="000000" w:fill="8DB4E3"/>
            <w:noWrap/>
            <w:vAlign w:val="bottom"/>
            <w:hideMark/>
          </w:tcPr>
          <w:p w:rsidR="001D0745" w:rsidRPr="00CB53D7" w:rsidRDefault="001D0745" w:rsidP="00F335D4">
            <w:pPr>
              <w:jc w:val="right"/>
              <w:rPr>
                <w:rFonts w:ascii="Calibri" w:hAnsi="Calibri"/>
                <w:color w:val="000000"/>
                <w:sz w:val="22"/>
                <w:szCs w:val="22"/>
              </w:rPr>
            </w:pPr>
            <w:r w:rsidRPr="00CB53D7">
              <w:rPr>
                <w:rFonts w:ascii="Calibri" w:hAnsi="Calibri"/>
                <w:color w:val="000000"/>
                <w:sz w:val="22"/>
                <w:szCs w:val="22"/>
              </w:rPr>
              <w:t>2020</w:t>
            </w:r>
          </w:p>
        </w:tc>
        <w:tc>
          <w:tcPr>
            <w:tcW w:w="860" w:type="dxa"/>
            <w:tcBorders>
              <w:top w:val="single" w:sz="4" w:space="0" w:color="auto"/>
              <w:left w:val="nil"/>
              <w:bottom w:val="single" w:sz="4" w:space="0" w:color="auto"/>
              <w:right w:val="single" w:sz="4" w:space="0" w:color="auto"/>
            </w:tcBorders>
            <w:shd w:val="clear" w:color="000000" w:fill="8DB4E3"/>
            <w:noWrap/>
            <w:vAlign w:val="bottom"/>
            <w:hideMark/>
          </w:tcPr>
          <w:p w:rsidR="001D0745" w:rsidRPr="00CB53D7" w:rsidRDefault="001D0745" w:rsidP="00F335D4">
            <w:pPr>
              <w:jc w:val="right"/>
              <w:rPr>
                <w:rFonts w:ascii="Calibri" w:hAnsi="Calibri"/>
                <w:color w:val="000000"/>
                <w:sz w:val="22"/>
                <w:szCs w:val="22"/>
              </w:rPr>
            </w:pPr>
            <w:r w:rsidRPr="00CB53D7">
              <w:rPr>
                <w:rFonts w:ascii="Calibri" w:hAnsi="Calibri"/>
                <w:color w:val="000000"/>
                <w:sz w:val="22"/>
                <w:szCs w:val="22"/>
              </w:rPr>
              <w:t>2023</w:t>
            </w:r>
          </w:p>
        </w:tc>
      </w:tr>
      <w:tr w:rsidR="001D0745" w:rsidRPr="00CB53D7" w:rsidTr="00F335D4">
        <w:trPr>
          <w:trHeight w:val="288"/>
        </w:trPr>
        <w:tc>
          <w:tcPr>
            <w:tcW w:w="2520" w:type="dxa"/>
            <w:tcBorders>
              <w:top w:val="nil"/>
              <w:left w:val="single" w:sz="4" w:space="0" w:color="auto"/>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 </w:t>
            </w: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 </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 </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p>
        </w:tc>
        <w:tc>
          <w:tcPr>
            <w:tcW w:w="860" w:type="dxa"/>
            <w:tcBorders>
              <w:top w:val="nil"/>
              <w:left w:val="nil"/>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p>
        </w:tc>
        <w:tc>
          <w:tcPr>
            <w:tcW w:w="860" w:type="dxa"/>
            <w:tcBorders>
              <w:top w:val="nil"/>
              <w:left w:val="nil"/>
              <w:bottom w:val="nil"/>
              <w:right w:val="single" w:sz="4" w:space="0" w:color="auto"/>
            </w:tcBorders>
            <w:shd w:val="clear" w:color="auto" w:fill="auto"/>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 </w:t>
            </w:r>
          </w:p>
        </w:tc>
      </w:tr>
      <w:tr w:rsidR="001D0745" w:rsidRPr="00CB53D7" w:rsidTr="00F335D4">
        <w:trPr>
          <w:trHeight w:val="288"/>
        </w:trPr>
        <w:tc>
          <w:tcPr>
            <w:tcW w:w="2520" w:type="dxa"/>
            <w:tcBorders>
              <w:top w:val="nil"/>
              <w:left w:val="single" w:sz="4" w:space="0" w:color="auto"/>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Antal borgere</w:t>
            </w:r>
            <w:r>
              <w:rPr>
                <w:rFonts w:ascii="Calibri" w:hAnsi="Calibri"/>
                <w:color w:val="000000"/>
                <w:sz w:val="22"/>
                <w:szCs w:val="22"/>
              </w:rPr>
              <w:t xml:space="preserve"> (FM)</w:t>
            </w: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207</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273</w:t>
            </w: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295</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295,4</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306,9</w:t>
            </w:r>
          </w:p>
        </w:tc>
        <w:tc>
          <w:tcPr>
            <w:tcW w:w="860" w:type="dxa"/>
            <w:tcBorders>
              <w:top w:val="nil"/>
              <w:left w:val="nil"/>
              <w:bottom w:val="nil"/>
              <w:right w:val="single" w:sz="4" w:space="0" w:color="auto"/>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320</w:t>
            </w:r>
          </w:p>
        </w:tc>
      </w:tr>
      <w:tr w:rsidR="001D0745" w:rsidRPr="00CB53D7" w:rsidTr="00F335D4">
        <w:trPr>
          <w:trHeight w:val="288"/>
        </w:trPr>
        <w:tc>
          <w:tcPr>
            <w:tcW w:w="2520" w:type="dxa"/>
            <w:tcBorders>
              <w:top w:val="nil"/>
              <w:left w:val="single" w:sz="4" w:space="0" w:color="auto"/>
              <w:bottom w:val="nil"/>
              <w:right w:val="nil"/>
            </w:tcBorders>
            <w:shd w:val="clear" w:color="auto" w:fill="auto"/>
            <w:noWrap/>
            <w:vAlign w:val="bottom"/>
            <w:hideMark/>
          </w:tcPr>
          <w:p w:rsidR="001D0745" w:rsidRPr="00CB53D7" w:rsidRDefault="001D0745" w:rsidP="00F335D4">
            <w:pPr>
              <w:rPr>
                <w:rFonts w:ascii="Calibri" w:hAnsi="Calibri"/>
                <w:color w:val="000000"/>
                <w:sz w:val="22"/>
                <w:szCs w:val="22"/>
              </w:rPr>
            </w:pPr>
            <w:r w:rsidRPr="00CB53D7">
              <w:rPr>
                <w:rFonts w:ascii="Calibri" w:hAnsi="Calibri"/>
                <w:color w:val="000000"/>
                <w:sz w:val="22"/>
                <w:szCs w:val="22"/>
              </w:rPr>
              <w:t>Antal færdigmeldte dage</w:t>
            </w: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2.035</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2.700</w:t>
            </w:r>
          </w:p>
        </w:tc>
        <w:tc>
          <w:tcPr>
            <w:tcW w:w="860" w:type="dxa"/>
            <w:tcBorders>
              <w:top w:val="nil"/>
              <w:left w:val="single" w:sz="4" w:space="0" w:color="auto"/>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2.921</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2.921</w:t>
            </w:r>
          </w:p>
        </w:tc>
        <w:tc>
          <w:tcPr>
            <w:tcW w:w="860" w:type="dxa"/>
            <w:tcBorders>
              <w:top w:val="nil"/>
              <w:left w:val="nil"/>
              <w:bottom w:val="nil"/>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3.035</w:t>
            </w:r>
          </w:p>
        </w:tc>
        <w:tc>
          <w:tcPr>
            <w:tcW w:w="860" w:type="dxa"/>
            <w:tcBorders>
              <w:top w:val="nil"/>
              <w:left w:val="nil"/>
              <w:bottom w:val="nil"/>
              <w:right w:val="single" w:sz="4" w:space="0" w:color="auto"/>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3.165</w:t>
            </w:r>
          </w:p>
        </w:tc>
      </w:tr>
      <w:tr w:rsidR="001D0745" w:rsidRPr="00CB53D7" w:rsidTr="00F335D4">
        <w:trPr>
          <w:trHeight w:val="288"/>
        </w:trPr>
        <w:tc>
          <w:tcPr>
            <w:tcW w:w="2520" w:type="dxa"/>
            <w:tcBorders>
              <w:top w:val="single" w:sz="4" w:space="0" w:color="auto"/>
              <w:left w:val="single" w:sz="4" w:space="0" w:color="auto"/>
              <w:bottom w:val="single" w:sz="4" w:space="0" w:color="auto"/>
              <w:right w:val="nil"/>
            </w:tcBorders>
            <w:shd w:val="clear" w:color="auto" w:fill="auto"/>
            <w:noWrap/>
            <w:vAlign w:val="bottom"/>
            <w:hideMark/>
          </w:tcPr>
          <w:p w:rsidR="001D0745" w:rsidRPr="00CB53D7" w:rsidRDefault="001D0745" w:rsidP="00F335D4">
            <w:pPr>
              <w:rPr>
                <w:rFonts w:ascii="Calibri" w:hAnsi="Calibri"/>
                <w:color w:val="000000"/>
                <w:sz w:val="22"/>
                <w:szCs w:val="22"/>
              </w:rPr>
            </w:pPr>
            <w:r>
              <w:rPr>
                <w:rFonts w:ascii="Calibri" w:hAnsi="Calibri"/>
                <w:color w:val="000000"/>
                <w:sz w:val="22"/>
                <w:szCs w:val="22"/>
              </w:rPr>
              <w:t>A</w:t>
            </w:r>
            <w:r w:rsidRPr="00CB53D7">
              <w:rPr>
                <w:rFonts w:ascii="Calibri" w:hAnsi="Calibri"/>
                <w:color w:val="000000"/>
                <w:sz w:val="22"/>
                <w:szCs w:val="22"/>
              </w:rPr>
              <w:t xml:space="preserve">ntal </w:t>
            </w:r>
            <w:proofErr w:type="spellStart"/>
            <w:r w:rsidR="00BB6251">
              <w:rPr>
                <w:rFonts w:ascii="Calibri" w:hAnsi="Calibri"/>
                <w:color w:val="000000"/>
                <w:sz w:val="22"/>
                <w:szCs w:val="22"/>
              </w:rPr>
              <w:t>korttidsboliger</w:t>
            </w:r>
            <w:proofErr w:type="spellEnd"/>
            <w:r>
              <w:rPr>
                <w:rFonts w:ascii="Calibri" w:hAnsi="Calibri"/>
                <w:color w:val="000000"/>
                <w:sz w:val="22"/>
                <w:szCs w:val="22"/>
              </w:rPr>
              <w:t xml:space="preserve"> </w:t>
            </w:r>
          </w:p>
        </w:tc>
        <w:tc>
          <w:tcPr>
            <w:tcW w:w="860" w:type="dxa"/>
            <w:tcBorders>
              <w:top w:val="single" w:sz="4" w:space="0" w:color="auto"/>
              <w:left w:val="single" w:sz="4" w:space="0" w:color="auto"/>
              <w:bottom w:val="single" w:sz="4" w:space="0" w:color="auto"/>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5,6</w:t>
            </w:r>
          </w:p>
        </w:tc>
        <w:tc>
          <w:tcPr>
            <w:tcW w:w="860" w:type="dxa"/>
            <w:tcBorders>
              <w:top w:val="single" w:sz="4" w:space="0" w:color="auto"/>
              <w:left w:val="nil"/>
              <w:bottom w:val="single" w:sz="4" w:space="0" w:color="auto"/>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7,4</w:t>
            </w:r>
          </w:p>
        </w:tc>
        <w:tc>
          <w:tcPr>
            <w:tcW w:w="860" w:type="dxa"/>
            <w:tcBorders>
              <w:top w:val="single" w:sz="4" w:space="0" w:color="auto"/>
              <w:left w:val="single" w:sz="4" w:space="0" w:color="auto"/>
              <w:bottom w:val="single" w:sz="4" w:space="0" w:color="auto"/>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7,7</w:t>
            </w:r>
          </w:p>
        </w:tc>
        <w:tc>
          <w:tcPr>
            <w:tcW w:w="860" w:type="dxa"/>
            <w:tcBorders>
              <w:top w:val="single" w:sz="4" w:space="0" w:color="auto"/>
              <w:left w:val="nil"/>
              <w:bottom w:val="single" w:sz="4" w:space="0" w:color="auto"/>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8,0</w:t>
            </w:r>
          </w:p>
        </w:tc>
        <w:tc>
          <w:tcPr>
            <w:tcW w:w="860" w:type="dxa"/>
            <w:tcBorders>
              <w:top w:val="single" w:sz="4" w:space="0" w:color="auto"/>
              <w:left w:val="nil"/>
              <w:bottom w:val="single" w:sz="4" w:space="0" w:color="auto"/>
              <w:right w:val="nil"/>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8,3</w:t>
            </w:r>
          </w:p>
        </w:tc>
        <w:tc>
          <w:tcPr>
            <w:tcW w:w="860" w:type="dxa"/>
            <w:tcBorders>
              <w:top w:val="single" w:sz="4" w:space="0" w:color="auto"/>
              <w:left w:val="nil"/>
              <w:bottom w:val="single" w:sz="4" w:space="0" w:color="auto"/>
              <w:right w:val="single" w:sz="4" w:space="0" w:color="auto"/>
            </w:tcBorders>
            <w:shd w:val="clear" w:color="auto" w:fill="auto"/>
            <w:noWrap/>
            <w:vAlign w:val="bottom"/>
            <w:hideMark/>
          </w:tcPr>
          <w:p w:rsidR="001D0745" w:rsidRPr="00CB53D7" w:rsidRDefault="001D0745" w:rsidP="00F335D4">
            <w:pPr>
              <w:jc w:val="center"/>
              <w:rPr>
                <w:rFonts w:ascii="Calibri" w:hAnsi="Calibri"/>
                <w:color w:val="000000"/>
                <w:sz w:val="22"/>
                <w:szCs w:val="22"/>
              </w:rPr>
            </w:pPr>
            <w:r w:rsidRPr="00CB53D7">
              <w:rPr>
                <w:rFonts w:ascii="Calibri" w:hAnsi="Calibri"/>
                <w:color w:val="000000"/>
                <w:sz w:val="22"/>
                <w:szCs w:val="22"/>
              </w:rPr>
              <w:t>8,7</w:t>
            </w:r>
          </w:p>
        </w:tc>
      </w:tr>
    </w:tbl>
    <w:p w:rsidR="001D0745" w:rsidRPr="00C0641F" w:rsidRDefault="001D0745" w:rsidP="001D0745">
      <w:pPr>
        <w:rPr>
          <w:sz w:val="16"/>
          <w:szCs w:val="16"/>
        </w:rPr>
      </w:pPr>
      <w:r w:rsidRPr="00C0641F">
        <w:rPr>
          <w:sz w:val="16"/>
          <w:szCs w:val="16"/>
        </w:rPr>
        <w:t>Kilde:</w:t>
      </w:r>
      <w:r>
        <w:rPr>
          <w:sz w:val="16"/>
          <w:szCs w:val="16"/>
        </w:rPr>
        <w:t xml:space="preserve"> </w:t>
      </w:r>
      <w:proofErr w:type="spellStart"/>
      <w:r>
        <w:rPr>
          <w:sz w:val="16"/>
          <w:szCs w:val="16"/>
        </w:rPr>
        <w:t>eSundhed</w:t>
      </w:r>
      <w:proofErr w:type="spellEnd"/>
      <w:r>
        <w:rPr>
          <w:sz w:val="16"/>
          <w:szCs w:val="16"/>
        </w:rPr>
        <w:t xml:space="preserve"> og egne beregninger</w:t>
      </w:r>
    </w:p>
    <w:p w:rsidR="001D0745" w:rsidRDefault="001D0745" w:rsidP="001D0745"/>
    <w:p w:rsidR="001D0745" w:rsidRDefault="001D0745" w:rsidP="001D0745">
      <w:r>
        <w:t>Ud af de 273 færdigmeldte patienter i 2014 havde 29 pct. en diagnose, der pegede på forebyggelse. Det viser et potentiale for, at indlæggelser kan forebygges om der i kommunalt sundhedsregi er et alternativ til en sygehusindlæggelse (fx akutpla</w:t>
      </w:r>
      <w:r>
        <w:t>d</w:t>
      </w:r>
      <w:r>
        <w:t xml:space="preserve">ser, selvindskrivningspladser o. lign.). Det vil øjensynligt have en mærkbar effekt på behovet for antal </w:t>
      </w:r>
      <w:proofErr w:type="spellStart"/>
      <w:r w:rsidR="00BB6251">
        <w:t>korttidsboliger</w:t>
      </w:r>
      <w:proofErr w:type="spellEnd"/>
      <w:r>
        <w:t>, genindlæggelser og ydelser i hjemmeplejen.</w:t>
      </w:r>
    </w:p>
    <w:p w:rsidR="001D0745" w:rsidRDefault="001D0745" w:rsidP="001D0745"/>
    <w:p w:rsidR="006A2EE1" w:rsidRDefault="00786B30" w:rsidP="00786B30">
      <w:pPr>
        <w:pStyle w:val="Overskrift2"/>
      </w:pPr>
      <w:bookmarkStart w:id="91" w:name="_Toc414960288"/>
      <w:r>
        <w:t xml:space="preserve">Behovet for antal </w:t>
      </w:r>
      <w:proofErr w:type="spellStart"/>
      <w:r w:rsidR="00BB6251">
        <w:t>korttidsboliger</w:t>
      </w:r>
      <w:proofErr w:type="spellEnd"/>
      <w:r>
        <w:t xml:space="preserve"> og udgiften hertil</w:t>
      </w:r>
      <w:bookmarkEnd w:id="91"/>
      <w:r>
        <w:t xml:space="preserve"> </w:t>
      </w:r>
    </w:p>
    <w:p w:rsidR="00786B30" w:rsidRDefault="00786B30" w:rsidP="00786B30">
      <w:r>
        <w:t xml:space="preserve">Samlet har den anvendte kapacitet af </w:t>
      </w:r>
      <w:proofErr w:type="spellStart"/>
      <w:r w:rsidR="00BB6251">
        <w:t>korttidsboliger</w:t>
      </w:r>
      <w:proofErr w:type="spellEnd"/>
      <w:r>
        <w:t xml:space="preserve"> i 2014 i gennemsnit været 3</w:t>
      </w:r>
      <w:r w:rsidR="004510B2">
        <w:t>8,9</w:t>
      </w:r>
      <w:r>
        <w:t xml:space="preserve"> pladser</w:t>
      </w:r>
      <w:r w:rsidR="004510B2">
        <w:t xml:space="preserve">; </w:t>
      </w:r>
      <w:r>
        <w:t xml:space="preserve">Lindehaven </w:t>
      </w:r>
      <w:r w:rsidR="004510B2">
        <w:t xml:space="preserve">27 pladser, </w:t>
      </w:r>
      <w:r>
        <w:t>Sønderhaven 8 pladser</w:t>
      </w:r>
      <w:r w:rsidR="004510B2">
        <w:t xml:space="preserve">, </w:t>
      </w:r>
      <w:r>
        <w:t>Gladsaxe 6 pladser</w:t>
      </w:r>
      <w:r w:rsidR="00BE266E">
        <w:rPr>
          <w:rStyle w:val="Fodnotehenvisning"/>
        </w:rPr>
        <w:footnoteReference w:id="18"/>
      </w:r>
      <w:r>
        <w:t xml:space="preserve"> </w:t>
      </w:r>
      <w:r w:rsidR="004510B2">
        <w:t>samt fæ</w:t>
      </w:r>
      <w:r w:rsidR="00BE266E">
        <w:t>r</w:t>
      </w:r>
      <w:r w:rsidR="004510B2">
        <w:t>digmeldte 7,4 pladser.</w:t>
      </w:r>
      <w:r>
        <w:t xml:space="preserve"> </w:t>
      </w:r>
    </w:p>
    <w:p w:rsidR="00786B30" w:rsidRDefault="00786B30" w:rsidP="00786B30"/>
    <w:p w:rsidR="00786B30" w:rsidRDefault="00786B30" w:rsidP="00786B30">
      <w:r>
        <w:t xml:space="preserve">Demografien vil i kommende år øge behovet for </w:t>
      </w:r>
      <w:r w:rsidR="004510B2">
        <w:t xml:space="preserve">antal </w:t>
      </w:r>
      <w:proofErr w:type="spellStart"/>
      <w:r w:rsidR="00BB6251">
        <w:t>korttidsboliger</w:t>
      </w:r>
      <w:proofErr w:type="spellEnd"/>
      <w:r>
        <w:t>. Samlet vil de 3</w:t>
      </w:r>
      <w:r w:rsidR="004510B2">
        <w:t>8</w:t>
      </w:r>
      <w:r>
        <w:t>,</w:t>
      </w:r>
      <w:r w:rsidR="004510B2">
        <w:t>9</w:t>
      </w:r>
      <w:r>
        <w:t xml:space="preserve"> pladser vokse til 4</w:t>
      </w:r>
      <w:r w:rsidR="003F5205">
        <w:t>2,4</w:t>
      </w:r>
      <w:r>
        <w:t xml:space="preserve"> pladser i 2018 og til </w:t>
      </w:r>
      <w:r w:rsidR="003F5205">
        <w:t>45,</w:t>
      </w:r>
      <w:r>
        <w:t>7 pladser i 2023 under foru</w:t>
      </w:r>
      <w:r>
        <w:t>d</w:t>
      </w:r>
      <w:r>
        <w:t>sætning af uændret visitationspraksis og forebyggelsesstrategi.</w:t>
      </w:r>
    </w:p>
    <w:p w:rsidR="00786B30" w:rsidRDefault="00786B30" w:rsidP="00786B30"/>
    <w:p w:rsidR="00786B30" w:rsidRDefault="00786B30" w:rsidP="00786B30">
      <w:pPr>
        <w:pStyle w:val="Billedtekst"/>
      </w:pPr>
      <w:bookmarkStart w:id="92" w:name="_Ref411325920"/>
      <w:bookmarkStart w:id="93" w:name="_Ref411325909"/>
      <w:bookmarkStart w:id="94" w:name="_Toc411506633"/>
      <w:bookmarkStart w:id="95" w:name="_Toc414519487"/>
      <w:r>
        <w:t xml:space="preserve">Tabel </w:t>
      </w:r>
      <w:fldSimple w:instr=" SEQ Tabel \* ARABIC ">
        <w:r>
          <w:rPr>
            <w:noProof/>
          </w:rPr>
          <w:t>16</w:t>
        </w:r>
      </w:fldSimple>
      <w:bookmarkEnd w:id="92"/>
      <w:r>
        <w:t xml:space="preserve">: Fremskrivning af antal </w:t>
      </w:r>
      <w:proofErr w:type="spellStart"/>
      <w:r w:rsidR="00BB6251">
        <w:t>korttidsboliger</w:t>
      </w:r>
      <w:proofErr w:type="spellEnd"/>
      <w:r>
        <w:t xml:space="preserve"> 2014-2023</w:t>
      </w:r>
      <w:bookmarkEnd w:id="93"/>
      <w:bookmarkEnd w:id="94"/>
      <w:bookmarkEnd w:id="95"/>
    </w:p>
    <w:p w:rsidR="00E602D5" w:rsidRDefault="00E602D5" w:rsidP="00E602D5">
      <w:r w:rsidRPr="00E602D5">
        <w:rPr>
          <w:noProof/>
        </w:rPr>
        <w:drawing>
          <wp:inline distT="0" distB="0" distL="0" distR="0">
            <wp:extent cx="5273040" cy="2263140"/>
            <wp:effectExtent l="19050" t="0" r="3810" b="0"/>
            <wp:docPr id="3"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srcRect/>
                    <a:stretch>
                      <a:fillRect/>
                    </a:stretch>
                  </pic:blipFill>
                  <pic:spPr bwMode="auto">
                    <a:xfrm>
                      <a:off x="0" y="0"/>
                      <a:ext cx="5273040" cy="2263140"/>
                    </a:xfrm>
                    <a:prstGeom prst="rect">
                      <a:avLst/>
                    </a:prstGeom>
                    <a:noFill/>
                    <a:ln w="9525">
                      <a:noFill/>
                      <a:miter lim="800000"/>
                      <a:headEnd/>
                      <a:tailEnd/>
                    </a:ln>
                  </pic:spPr>
                </pic:pic>
              </a:graphicData>
            </a:graphic>
          </wp:inline>
        </w:drawing>
      </w:r>
    </w:p>
    <w:p w:rsidR="00786B30" w:rsidRPr="00153623" w:rsidRDefault="00786B30" w:rsidP="00786B30">
      <w:pPr>
        <w:rPr>
          <w:sz w:val="16"/>
          <w:szCs w:val="16"/>
        </w:rPr>
      </w:pPr>
      <w:r w:rsidRPr="00153623">
        <w:rPr>
          <w:sz w:val="16"/>
          <w:szCs w:val="16"/>
        </w:rPr>
        <w:t xml:space="preserve">* Ballerup købte 6 pladser, </w:t>
      </w:r>
      <w:r>
        <w:rPr>
          <w:sz w:val="16"/>
          <w:szCs w:val="16"/>
        </w:rPr>
        <w:t xml:space="preserve">svarende til 4,5 pladser helår. </w:t>
      </w:r>
    </w:p>
    <w:p w:rsidR="00786B30" w:rsidRDefault="00786B30" w:rsidP="00786B30">
      <w:pPr>
        <w:rPr>
          <w:sz w:val="16"/>
          <w:szCs w:val="16"/>
        </w:rPr>
      </w:pPr>
      <w:r w:rsidRPr="001D4BB7">
        <w:rPr>
          <w:sz w:val="16"/>
          <w:szCs w:val="16"/>
        </w:rPr>
        <w:t xml:space="preserve">Kilde: </w:t>
      </w:r>
      <w:r>
        <w:rPr>
          <w:sz w:val="16"/>
          <w:szCs w:val="16"/>
        </w:rPr>
        <w:t>E</w:t>
      </w:r>
      <w:r w:rsidRPr="001D4BB7">
        <w:rPr>
          <w:sz w:val="16"/>
          <w:szCs w:val="16"/>
        </w:rPr>
        <w:t>gne beregninger</w:t>
      </w:r>
    </w:p>
    <w:p w:rsidR="00774720" w:rsidRDefault="00774720" w:rsidP="00774720"/>
    <w:p w:rsidR="00704849" w:rsidRDefault="00704849" w:rsidP="00774720">
      <w:r>
        <w:lastRenderedPageBreak/>
        <w:t xml:space="preserve">På linje med simuleringen af udgiften for plejeboliger fremskrives udgiften til </w:t>
      </w:r>
      <w:proofErr w:type="spellStart"/>
      <w:r w:rsidR="00BB6251">
        <w:t>kor</w:t>
      </w:r>
      <w:r w:rsidR="00BB6251">
        <w:t>t</w:t>
      </w:r>
      <w:r w:rsidR="00BB6251">
        <w:t>tidsboliger</w:t>
      </w:r>
      <w:proofErr w:type="spellEnd"/>
      <w:r>
        <w:t xml:space="preserve"> ved at anvende plejeboligtaksten på kr. 525.000 pr. år. pr. borger tillagt 25 </w:t>
      </w:r>
      <w:proofErr w:type="spellStart"/>
      <w:r>
        <w:t>pct</w:t>
      </w:r>
      <w:proofErr w:type="spellEnd"/>
      <w:r>
        <w:t>, der er normen for tyngdeforskel</w:t>
      </w:r>
      <w:r w:rsidR="00BE266E">
        <w:t xml:space="preserve">len </w:t>
      </w:r>
      <w:r>
        <w:t xml:space="preserve">mellem en plejebolig og en </w:t>
      </w:r>
      <w:proofErr w:type="spellStart"/>
      <w:r w:rsidR="00BE266E">
        <w:t>korttids</w:t>
      </w:r>
      <w:r w:rsidR="005F6E08">
        <w:t>bolig</w:t>
      </w:r>
      <w:proofErr w:type="spellEnd"/>
      <w:r>
        <w:t xml:space="preserve">. Udgiftsudviklingen fremgår af </w:t>
      </w:r>
      <w:r w:rsidR="00C90C23">
        <w:t xml:space="preserve">ligeledes af </w:t>
      </w:r>
      <w:r w:rsidR="000B05D0">
        <w:fldChar w:fldCharType="begin"/>
      </w:r>
      <w:r w:rsidR="00C90C23">
        <w:instrText xml:space="preserve"> REF _Ref411325920 \h </w:instrText>
      </w:r>
      <w:r w:rsidR="000B05D0">
        <w:fldChar w:fldCharType="separate"/>
      </w:r>
      <w:r w:rsidR="00C90C23">
        <w:t xml:space="preserve">Tabel </w:t>
      </w:r>
      <w:r w:rsidR="00C90C23">
        <w:rPr>
          <w:noProof/>
        </w:rPr>
        <w:t>16</w:t>
      </w:r>
      <w:r w:rsidR="000B05D0">
        <w:fldChar w:fldCharType="end"/>
      </w:r>
      <w:r w:rsidR="00C90C23">
        <w:t>.</w:t>
      </w:r>
      <w:r w:rsidR="00021B5C">
        <w:t xml:space="preserve"> Der er en markant stigning fra 2014 til 2018 på 14,4 pct. svarende til 2,</w:t>
      </w:r>
      <w:r w:rsidR="005F6E08">
        <w:t>9</w:t>
      </w:r>
      <w:r w:rsidR="00021B5C">
        <w:t xml:space="preserve"> mio. kr. i </w:t>
      </w:r>
      <w:proofErr w:type="spellStart"/>
      <w:r w:rsidR="00021B5C">
        <w:t>fht</w:t>
      </w:r>
      <w:proofErr w:type="spellEnd"/>
      <w:r w:rsidR="00021B5C">
        <w:t>. 2014.</w:t>
      </w:r>
    </w:p>
    <w:p w:rsidR="00C77F6F" w:rsidRDefault="00C77F6F" w:rsidP="00774720">
      <w:r>
        <w:t xml:space="preserve">Det skal bemærkes, at der ikke er tale om en konkret beregning, men en angivelse af i hvilket udgiftsniveau udfordringen med </w:t>
      </w:r>
      <w:proofErr w:type="spellStart"/>
      <w:r w:rsidR="00BB6251">
        <w:t>korttidsboliger</w:t>
      </w:r>
      <w:proofErr w:type="spellEnd"/>
      <w:r>
        <w:t xml:space="preserve"> befinder sig i. Den ko</w:t>
      </w:r>
      <w:r>
        <w:t>n</w:t>
      </w:r>
      <w:r>
        <w:t xml:space="preserve">krete udgift vil fx afhænge af organisationsform og faglige ambitionsniveau. </w:t>
      </w:r>
    </w:p>
    <w:p w:rsidR="00433EDC" w:rsidRDefault="00433EDC" w:rsidP="00774720"/>
    <w:p w:rsidR="00433EDC" w:rsidRDefault="00433EDC" w:rsidP="00774720"/>
    <w:p w:rsidR="00B63605" w:rsidRPr="00B63605" w:rsidRDefault="00B63605" w:rsidP="00774720">
      <w:pPr>
        <w:rPr>
          <w:u w:val="single"/>
        </w:rPr>
      </w:pPr>
      <w:r w:rsidRPr="00B63605">
        <w:rPr>
          <w:u w:val="single"/>
        </w:rPr>
        <w:t>Kilder:</w:t>
      </w:r>
    </w:p>
    <w:p w:rsidR="00B63605" w:rsidRDefault="000B05D0" w:rsidP="00B63605">
      <w:pPr>
        <w:pStyle w:val="Bibliografi"/>
        <w:rPr>
          <w:noProof/>
        </w:rPr>
      </w:pPr>
      <w:r>
        <w:fldChar w:fldCharType="begin"/>
      </w:r>
      <w:r w:rsidR="00B63605">
        <w:instrText xml:space="preserve"> BIBLIOGRAPHY  \l 1030 </w:instrText>
      </w:r>
      <w:r>
        <w:fldChar w:fldCharType="separate"/>
      </w:r>
      <w:r w:rsidR="00B63605">
        <w:rPr>
          <w:noProof/>
        </w:rPr>
        <w:t xml:space="preserve">Danske Kommuner. (2014). Stik fingeren i jorden - ikke spaden. </w:t>
      </w:r>
      <w:r w:rsidR="00B63605">
        <w:rPr>
          <w:i/>
          <w:iCs/>
          <w:noProof/>
        </w:rPr>
        <w:t>Danske Kommuner #7, 2014</w:t>
      </w:r>
      <w:r w:rsidR="00B63605">
        <w:rPr>
          <w:noProof/>
        </w:rPr>
        <w:t xml:space="preserve"> .</w:t>
      </w:r>
    </w:p>
    <w:p w:rsidR="00B63605" w:rsidRDefault="00B63605" w:rsidP="00B63605">
      <w:pPr>
        <w:pStyle w:val="Bibliografi"/>
        <w:rPr>
          <w:noProof/>
        </w:rPr>
      </w:pPr>
      <w:r>
        <w:rPr>
          <w:noProof/>
        </w:rPr>
        <w:t xml:space="preserve">Det Økonomiske Råd. (2009). </w:t>
      </w:r>
      <w:r>
        <w:rPr>
          <w:i/>
          <w:iCs/>
          <w:noProof/>
        </w:rPr>
        <w:t>Sundhedsudgifter og Finanspolitisk holdbarhed, Working Paper.</w:t>
      </w:r>
      <w:r>
        <w:rPr>
          <w:noProof/>
        </w:rPr>
        <w:t xml:space="preserve"> </w:t>
      </w:r>
    </w:p>
    <w:p w:rsidR="00B63605" w:rsidRDefault="00B63605" w:rsidP="00B63605">
      <w:pPr>
        <w:pStyle w:val="Bibliografi"/>
        <w:rPr>
          <w:noProof/>
        </w:rPr>
      </w:pPr>
      <w:r>
        <w:rPr>
          <w:noProof/>
        </w:rPr>
        <w:t xml:space="preserve">Servicestyrelsen. (2007). </w:t>
      </w:r>
      <w:r>
        <w:rPr>
          <w:i/>
          <w:iCs/>
          <w:noProof/>
        </w:rPr>
        <w:t>Trivsel og Boligform: Afdækning af trivselsfaktorer hos ældre i plejeboliger.</w:t>
      </w:r>
      <w:r>
        <w:rPr>
          <w:noProof/>
        </w:rPr>
        <w:t xml:space="preserve"> Servicestyrelsen.</w:t>
      </w:r>
    </w:p>
    <w:p w:rsidR="00B63605" w:rsidRDefault="00B63605" w:rsidP="00B63605">
      <w:pPr>
        <w:pStyle w:val="Bibliografi"/>
        <w:rPr>
          <w:noProof/>
        </w:rPr>
      </w:pPr>
      <w:r>
        <w:rPr>
          <w:noProof/>
        </w:rPr>
        <w:t xml:space="preserve">Ældresagen. (2013). </w:t>
      </w:r>
      <w:r>
        <w:rPr>
          <w:i/>
          <w:iCs/>
          <w:noProof/>
        </w:rPr>
        <w:t>Byg demens boliger - Analyse og forslag til investeringer 2013 - 2023.</w:t>
      </w:r>
      <w:r>
        <w:rPr>
          <w:noProof/>
        </w:rPr>
        <w:t xml:space="preserve"> </w:t>
      </w:r>
    </w:p>
    <w:p w:rsidR="00B63605" w:rsidRDefault="00B63605" w:rsidP="00B63605">
      <w:pPr>
        <w:pStyle w:val="Bibliografi"/>
        <w:rPr>
          <w:noProof/>
        </w:rPr>
      </w:pPr>
      <w:r>
        <w:rPr>
          <w:noProof/>
        </w:rPr>
        <w:t xml:space="preserve">Ældresagen. (2007). </w:t>
      </w:r>
      <w:r>
        <w:rPr>
          <w:i/>
          <w:iCs/>
          <w:noProof/>
        </w:rPr>
        <w:t>Medlemmerne og boligforhold.</w:t>
      </w:r>
      <w:r>
        <w:rPr>
          <w:noProof/>
        </w:rPr>
        <w:t xml:space="preserve"> Konsulentfirmaet AION.</w:t>
      </w:r>
    </w:p>
    <w:p w:rsidR="00433EDC" w:rsidRDefault="000B05D0" w:rsidP="00B63605">
      <w:r>
        <w:fldChar w:fldCharType="end"/>
      </w:r>
    </w:p>
    <w:p w:rsidR="00433EDC" w:rsidRPr="00774720" w:rsidRDefault="00433EDC" w:rsidP="00774720"/>
    <w:sectPr w:rsidR="00433EDC" w:rsidRPr="00774720" w:rsidSect="00740D4D">
      <w:headerReference w:type="default" r:id="rId42"/>
      <w:footerReference w:type="default" r:id="rId43"/>
      <w:footerReference w:type="first" r:id="rId44"/>
      <w:pgSz w:w="11906" w:h="16838" w:code="9"/>
      <w:pgMar w:top="2041" w:right="1701" w:bottom="323" w:left="1701"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0D70" w:rsidRDefault="00220D70">
      <w:r>
        <w:separator/>
      </w:r>
    </w:p>
  </w:endnote>
  <w:endnote w:type="continuationSeparator" w:id="0">
    <w:p w:rsidR="00220D70" w:rsidRDefault="00220D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Officina Sans">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fod"/>
    </w:pPr>
  </w:p>
  <w:p w:rsidR="00220D70" w:rsidRDefault="00220D70">
    <w:pPr>
      <w:pStyle w:val="Sidefo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fod"/>
    </w:pPr>
  </w:p>
  <w:p w:rsidR="00220D70" w:rsidRPr="007621E9" w:rsidRDefault="00220D70" w:rsidP="007621E9">
    <w:pPr>
      <w:pStyle w:val="Sidefod"/>
      <w:ind w:right="-1135"/>
      <w:jc w:val="right"/>
      <w:rPr>
        <w:b/>
        <w:color w:val="666666"/>
        <w:sz w:val="18"/>
        <w:szCs w:val="18"/>
      </w:rPr>
    </w:pPr>
    <w:r w:rsidRPr="007621E9">
      <w:rPr>
        <w:b/>
        <w:color w:val="666666"/>
        <w:sz w:val="18"/>
        <w:szCs w:val="18"/>
      </w:rPr>
      <w:t xml:space="preserve">Side </w:t>
    </w:r>
    <w:r w:rsidR="000B05D0" w:rsidRPr="007621E9">
      <w:rPr>
        <w:rStyle w:val="Sidetal"/>
        <w:b/>
        <w:color w:val="666666"/>
      </w:rPr>
      <w:fldChar w:fldCharType="begin"/>
    </w:r>
    <w:r w:rsidRPr="007621E9">
      <w:rPr>
        <w:rStyle w:val="Sidetal"/>
        <w:b/>
        <w:color w:val="666666"/>
      </w:rPr>
      <w:instrText xml:space="preserve"> PAGE </w:instrText>
    </w:r>
    <w:r w:rsidR="000B05D0" w:rsidRPr="007621E9">
      <w:rPr>
        <w:rStyle w:val="Sidetal"/>
        <w:b/>
        <w:color w:val="666666"/>
      </w:rPr>
      <w:fldChar w:fldCharType="separate"/>
    </w:r>
    <w:r w:rsidR="00984F9A">
      <w:rPr>
        <w:rStyle w:val="Sidetal"/>
        <w:b/>
        <w:noProof/>
        <w:color w:val="666666"/>
      </w:rPr>
      <w:t>2</w:t>
    </w:r>
    <w:r w:rsidR="000B05D0" w:rsidRPr="007621E9">
      <w:rPr>
        <w:rStyle w:val="Sidetal"/>
        <w:b/>
        <w:color w:val="666666"/>
      </w:rPr>
      <w:fldChar w:fldCharType="end"/>
    </w:r>
  </w:p>
  <w:p w:rsidR="00220D70" w:rsidRDefault="00220D70">
    <w:pPr>
      <w:pStyle w:val="Sidefo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fod"/>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fod"/>
    </w:pPr>
  </w:p>
  <w:p w:rsidR="00220D70" w:rsidRPr="007621E9" w:rsidRDefault="00220D70" w:rsidP="007621E9">
    <w:pPr>
      <w:pStyle w:val="Sidefod"/>
      <w:ind w:right="-1135"/>
      <w:jc w:val="right"/>
      <w:rPr>
        <w:b/>
        <w:color w:val="666666"/>
        <w:sz w:val="18"/>
        <w:szCs w:val="18"/>
      </w:rPr>
    </w:pPr>
    <w:r w:rsidRPr="007621E9">
      <w:rPr>
        <w:b/>
        <w:color w:val="666666"/>
        <w:sz w:val="18"/>
        <w:szCs w:val="18"/>
      </w:rPr>
      <w:t xml:space="preserve">Side </w:t>
    </w:r>
    <w:r w:rsidR="000B05D0" w:rsidRPr="007621E9">
      <w:rPr>
        <w:rStyle w:val="Sidetal"/>
        <w:b/>
        <w:color w:val="666666"/>
      </w:rPr>
      <w:fldChar w:fldCharType="begin"/>
    </w:r>
    <w:r w:rsidRPr="007621E9">
      <w:rPr>
        <w:rStyle w:val="Sidetal"/>
        <w:b/>
        <w:color w:val="666666"/>
      </w:rPr>
      <w:instrText xml:space="preserve"> PAGE </w:instrText>
    </w:r>
    <w:r w:rsidR="000B05D0" w:rsidRPr="007621E9">
      <w:rPr>
        <w:rStyle w:val="Sidetal"/>
        <w:b/>
        <w:color w:val="666666"/>
      </w:rPr>
      <w:fldChar w:fldCharType="separate"/>
    </w:r>
    <w:r w:rsidR="00984F9A">
      <w:rPr>
        <w:rStyle w:val="Sidetal"/>
        <w:b/>
        <w:noProof/>
        <w:color w:val="666666"/>
      </w:rPr>
      <w:t>13</w:t>
    </w:r>
    <w:r w:rsidR="000B05D0" w:rsidRPr="007621E9">
      <w:rPr>
        <w:rStyle w:val="Sidetal"/>
        <w:b/>
        <w:color w:val="666666"/>
      </w:rPr>
      <w:fldChar w:fldCharType="end"/>
    </w:r>
  </w:p>
  <w:p w:rsidR="00220D70" w:rsidRDefault="00220D70">
    <w:pPr>
      <w:pStyle w:val="Sidefod"/>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0D70" w:rsidRDefault="00220D70">
      <w:r>
        <w:separator/>
      </w:r>
    </w:p>
  </w:footnote>
  <w:footnote w:type="continuationSeparator" w:id="0">
    <w:p w:rsidR="00220D70" w:rsidRDefault="00220D70">
      <w:r>
        <w:continuationSeparator/>
      </w:r>
    </w:p>
  </w:footnote>
  <w:footnote w:id="1">
    <w:p w:rsidR="00220D70" w:rsidRDefault="00220D70" w:rsidP="00F335D4">
      <w:pPr>
        <w:pStyle w:val="Listeafsnit"/>
        <w:ind w:left="0"/>
      </w:pPr>
      <w:r>
        <w:rPr>
          <w:rStyle w:val="Fodnotehenvisning"/>
        </w:rPr>
        <w:footnoteRef/>
      </w:r>
      <w:r>
        <w:t>Det understreges, at det er de relative fordelinger, der er undersøgt. Det er ikke de absolutte fordelinger over antal leverede minutter fra år til år, idet disse natu</w:t>
      </w:r>
      <w:r>
        <w:t>r</w:t>
      </w:r>
      <w:r>
        <w:t xml:space="preserve">ligvis vil svinge afhængig af det visiterede behov. </w:t>
      </w:r>
    </w:p>
  </w:footnote>
  <w:footnote w:id="2">
    <w:p w:rsidR="00220D70" w:rsidRDefault="00220D70" w:rsidP="00F335D4">
      <w:pPr>
        <w:pStyle w:val="Fodnotetekst"/>
      </w:pPr>
      <w:r>
        <w:rPr>
          <w:rStyle w:val="Fodnotehenvisning"/>
        </w:rPr>
        <w:footnoteRef/>
      </w:r>
      <w:r>
        <w:t xml:space="preserve"> Fraktilerne bestemmes på grundlag af en hyppighedsfordeling over den leverede tid. Brug af gennemsnittet i fordelingen vil ikke være velegnet, da det er meget p</w:t>
      </w:r>
      <w:r>
        <w:t>å</w:t>
      </w:r>
      <w:r>
        <w:t>virkeligt overfor høje værdier.</w:t>
      </w:r>
    </w:p>
  </w:footnote>
  <w:footnote w:id="3">
    <w:p w:rsidR="00220D70" w:rsidRDefault="00220D70" w:rsidP="00F335D4">
      <w:r>
        <w:rPr>
          <w:rStyle w:val="Fodnotehenvisning"/>
        </w:rPr>
        <w:footnoteRef/>
      </w:r>
      <w:r>
        <w:t xml:space="preserve"> Svarende til ca. 4 timer og 40 min.</w:t>
      </w:r>
    </w:p>
    <w:p w:rsidR="00220D70" w:rsidRDefault="00220D70" w:rsidP="00F335D4">
      <w:pPr>
        <w:pStyle w:val="Fodnotetekst"/>
      </w:pPr>
    </w:p>
  </w:footnote>
  <w:footnote w:id="4">
    <w:p w:rsidR="00220D70" w:rsidRDefault="00220D70" w:rsidP="00F335D4">
      <w:pPr>
        <w:pStyle w:val="Fodnotetekst"/>
      </w:pPr>
      <w:r>
        <w:rPr>
          <w:rStyle w:val="Fodnotehenvisning"/>
        </w:rPr>
        <w:footnoteRef/>
      </w:r>
      <w:r>
        <w:t xml:space="preserve"> Helt præcist måles det om observationerne gennemsnitligt har samme afstand til middelværdien i de to fordelinger En observation er her alder koblet med den tilh</w:t>
      </w:r>
      <w:r>
        <w:t>ø</w:t>
      </w:r>
      <w:r>
        <w:t xml:space="preserve">rende værdi for leveret tid i hhv. 2011 og 2013, hvor data er grupperet for hvert alderstrin og leveret tid er en middelværdi for denne gruppe. </w:t>
      </w:r>
    </w:p>
  </w:footnote>
  <w:footnote w:id="5">
    <w:p w:rsidR="00220D70" w:rsidRDefault="00220D70">
      <w:pPr>
        <w:pStyle w:val="Fodnotetekst"/>
      </w:pPr>
      <w:r>
        <w:rPr>
          <w:rStyle w:val="Fodnotehenvisning"/>
        </w:rPr>
        <w:footnoteRef/>
      </w:r>
      <w:r>
        <w:t xml:space="preserve"> Data fra CARE undersøges pt. for om kvaliteten er i orden, idet tallets størrelse synes høj.</w:t>
      </w:r>
    </w:p>
  </w:footnote>
  <w:footnote w:id="6">
    <w:p w:rsidR="00220D70" w:rsidRDefault="00220D70" w:rsidP="00F335D4">
      <w:pPr>
        <w:pStyle w:val="Fodnotetekst"/>
      </w:pPr>
      <w:r>
        <w:rPr>
          <w:rStyle w:val="Fodnotehenvisning"/>
        </w:rPr>
        <w:footnoteRef/>
      </w:r>
      <w:r>
        <w:t xml:space="preserve"> Opmærksomhed skal være på om P/L-regulering skal ske for basisår.</w:t>
      </w:r>
    </w:p>
  </w:footnote>
  <w:footnote w:id="7">
    <w:p w:rsidR="00220D70" w:rsidRDefault="00220D70" w:rsidP="00FE7258">
      <w:pPr>
        <w:pStyle w:val="Fodnotetekst"/>
      </w:pPr>
      <w:r>
        <w:rPr>
          <w:rStyle w:val="Fodnotehenvisning"/>
          <w:rFonts w:eastAsiaTheme="majorEastAsia"/>
        </w:rPr>
        <w:footnoteRef/>
      </w:r>
      <w:r>
        <w:t xml:space="preserve"> Det er ikke et fænomen i nyere tid at levetiden stiger. Gennemsnitligt over de s</w:t>
      </w:r>
      <w:r>
        <w:t>e</w:t>
      </w:r>
      <w:r>
        <w:t>neste 150 år har middellevetiden været konstant voksende</w:t>
      </w:r>
    </w:p>
  </w:footnote>
  <w:footnote w:id="8">
    <w:p w:rsidR="00220D70" w:rsidRDefault="00220D70" w:rsidP="00FE7258">
      <w:pPr>
        <w:pStyle w:val="Fodnotetekst"/>
      </w:pPr>
      <w:r>
        <w:rPr>
          <w:rStyle w:val="Fodnotehenvisning"/>
          <w:rFonts w:eastAsiaTheme="majorEastAsia"/>
        </w:rPr>
        <w:footnoteRef/>
      </w:r>
      <w:r>
        <w:t xml:space="preserve"> Der henvises til notatet </w:t>
      </w:r>
      <w:sdt>
        <w:sdtPr>
          <w:id w:val="18435297"/>
          <w:citation/>
        </w:sdtPr>
        <w:sdtContent>
          <w:fldSimple w:instr=" CITATION Sce15 \l 1030 ">
            <w:r>
              <w:rPr>
                <w:noProof/>
              </w:rPr>
              <w:t>(Scenarier for udgiftsudviklingen på ældreområdet, 2015)</w:t>
            </w:r>
          </w:fldSimple>
        </w:sdtContent>
      </w:sdt>
      <w:r>
        <w:t>.</w:t>
      </w:r>
    </w:p>
  </w:footnote>
  <w:footnote w:id="9">
    <w:p w:rsidR="00220D70" w:rsidRDefault="00220D70" w:rsidP="00FE7258">
      <w:pPr>
        <w:pStyle w:val="Fodnotetekst"/>
      </w:pPr>
      <w:r>
        <w:rPr>
          <w:rStyle w:val="Fodnotehenvisning"/>
          <w:rFonts w:eastAsiaTheme="majorEastAsia"/>
        </w:rPr>
        <w:footnoteRef/>
      </w:r>
      <w:r>
        <w:t xml:space="preserve"> En dækningsgrad udtrykker, hvor mange plejeboliger, der er pr. 100 borgere i a</w:t>
      </w:r>
      <w:r>
        <w:t>l</w:t>
      </w:r>
      <w:r>
        <w:t xml:space="preserve">deren 80+ </w:t>
      </w:r>
      <w:proofErr w:type="spellStart"/>
      <w:r>
        <w:t>årige</w:t>
      </w:r>
      <w:proofErr w:type="spellEnd"/>
      <w:r>
        <w:t>.</w:t>
      </w:r>
    </w:p>
  </w:footnote>
  <w:footnote w:id="10">
    <w:p w:rsidR="00220D70" w:rsidRDefault="00220D70" w:rsidP="00FE7258">
      <w:pPr>
        <w:pStyle w:val="Fodnotetekst"/>
      </w:pPr>
      <w:r>
        <w:rPr>
          <w:rStyle w:val="Fodnotehenvisning"/>
          <w:rFonts w:eastAsiaTheme="majorEastAsia"/>
        </w:rPr>
        <w:footnoteRef/>
      </w:r>
      <w:r>
        <w:t xml:space="preserve"> En dækningsgrad på 18,75 pct. er anvendt. Midtpunktet i intervallet 17,5–20,0 pct.</w:t>
      </w:r>
    </w:p>
  </w:footnote>
  <w:footnote w:id="11">
    <w:p w:rsidR="00220D70" w:rsidRDefault="00220D70" w:rsidP="00FE7258">
      <w:pPr>
        <w:pStyle w:val="Fodnotetekst"/>
      </w:pPr>
      <w:r>
        <w:rPr>
          <w:rStyle w:val="Fodnotehenvisning"/>
          <w:rFonts w:eastAsiaTheme="majorEastAsia"/>
        </w:rPr>
        <w:footnoteRef/>
      </w:r>
      <w:r>
        <w:t xml:space="preserve"> Ældresagen og KL redegør ikke nærmere for, hvorledes man kommer frem til de nævnte dækningsgrader.</w:t>
      </w:r>
    </w:p>
  </w:footnote>
  <w:footnote w:id="12">
    <w:p w:rsidR="00220D70" w:rsidRDefault="00220D70" w:rsidP="00FE7258">
      <w:pPr>
        <w:pStyle w:val="Fodnotetekst"/>
      </w:pPr>
      <w:r>
        <w:rPr>
          <w:rStyle w:val="Fodnotehenvisning"/>
          <w:rFonts w:eastAsiaTheme="majorEastAsia"/>
        </w:rPr>
        <w:footnoteRef/>
      </w:r>
      <w:r>
        <w:t xml:space="preserve"> Behovsgraden er den andel af (kommunens) borgere, der bor i plejebolig i fo</w:t>
      </w:r>
      <w:r>
        <w:t>r</w:t>
      </w:r>
      <w:r>
        <w:t xml:space="preserve">hold til alle (kommunens) borgere i samme aldersgruppe. I modellen er bestemt en behovsgrad for hver 5-årsgruppe i intervallet &lt;60 år til &gt;95 år. </w:t>
      </w:r>
    </w:p>
  </w:footnote>
  <w:footnote w:id="13">
    <w:p w:rsidR="00220D70" w:rsidRDefault="00220D70" w:rsidP="00B14ABA">
      <w:pPr>
        <w:pStyle w:val="Fodnotetekst"/>
      </w:pPr>
      <w:r>
        <w:rPr>
          <w:rStyle w:val="Fodnotehenvisning"/>
          <w:rFonts w:eastAsiaTheme="majorEastAsia"/>
        </w:rPr>
        <w:footnoteRef/>
      </w:r>
      <w:r>
        <w:t xml:space="preserve"> Der anvendes mange forskellige begreber til at karakterisere målgruppen for </w:t>
      </w:r>
      <w:proofErr w:type="spellStart"/>
      <w:r w:rsidR="00BB6251">
        <w:t>korttidsboliger</w:t>
      </w:r>
      <w:proofErr w:type="spellEnd"/>
      <w:r>
        <w:t xml:space="preserve">; aflastningspladser, </w:t>
      </w:r>
      <w:proofErr w:type="spellStart"/>
      <w:r>
        <w:t>korttidspladser</w:t>
      </w:r>
      <w:proofErr w:type="spellEnd"/>
      <w:r>
        <w:t>, genoptræningspladser, aku</w:t>
      </w:r>
      <w:r>
        <w:t>t</w:t>
      </w:r>
      <w:r>
        <w:t xml:space="preserve">pladser, demenspladser o. m.m. I notatet anvendes </w:t>
      </w:r>
      <w:proofErr w:type="spellStart"/>
      <w:r w:rsidR="00BB6251">
        <w:t>korttidsboliger</w:t>
      </w:r>
      <w:proofErr w:type="spellEnd"/>
      <w:r>
        <w:t xml:space="preserve"> som et fælles begreb.</w:t>
      </w:r>
    </w:p>
  </w:footnote>
  <w:footnote w:id="14">
    <w:p w:rsidR="00220D70" w:rsidRDefault="00220D70">
      <w:pPr>
        <w:pStyle w:val="Fodnotetekst"/>
      </w:pPr>
      <w:r>
        <w:rPr>
          <w:rStyle w:val="Fodnotehenvisning"/>
        </w:rPr>
        <w:footnoteRef/>
      </w:r>
      <w:r>
        <w:t xml:space="preserve"> Lindehaven havde primo 2014 27 pladser, men i overensstemmelse med politisk beslutning er 2 plejeboliger konverteret til </w:t>
      </w:r>
      <w:proofErr w:type="spellStart"/>
      <w:r w:rsidR="00BB6251">
        <w:t>korttidsboliger</w:t>
      </w:r>
      <w:proofErr w:type="spellEnd"/>
      <w:r>
        <w:t xml:space="preserve">. tallet ultimo er der 29 pladser. I 2016 konverteres yderligere 2 plejeboliger til </w:t>
      </w:r>
      <w:proofErr w:type="spellStart"/>
      <w:r w:rsidR="00BB6251">
        <w:t>korttidsboliger</w:t>
      </w:r>
      <w:proofErr w:type="spellEnd"/>
      <w:r>
        <w:t>.</w:t>
      </w:r>
    </w:p>
  </w:footnote>
  <w:footnote w:id="15">
    <w:p w:rsidR="00220D70" w:rsidRDefault="00220D70" w:rsidP="001D0745">
      <w:pPr>
        <w:pStyle w:val="Fodnotetekst"/>
      </w:pPr>
      <w:r>
        <w:rPr>
          <w:rStyle w:val="Fodnotehenvisning"/>
          <w:rFonts w:eastAsiaTheme="majorEastAsia"/>
        </w:rPr>
        <w:footnoteRef/>
      </w:r>
      <w:r>
        <w:t xml:space="preserve"> Det er faktorer, som kommunen har kontrol over eller som kommunen kan p</w:t>
      </w:r>
      <w:r>
        <w:t>å</w:t>
      </w:r>
      <w:r>
        <w:t>virke over tid. Udenfor kommunens kontrol er faktorer som lovgivning og sygeh</w:t>
      </w:r>
      <w:r>
        <w:t>u</w:t>
      </w:r>
      <w:r>
        <w:t xml:space="preserve">senes behandlingsteknologi. </w:t>
      </w:r>
    </w:p>
  </w:footnote>
  <w:footnote w:id="16">
    <w:p w:rsidR="00220D70" w:rsidRDefault="00220D70" w:rsidP="001D0745">
      <w:pPr>
        <w:pStyle w:val="Fodnotetekst"/>
      </w:pPr>
      <w:r>
        <w:rPr>
          <w:rStyle w:val="Fodnotehenvisning"/>
          <w:rFonts w:eastAsiaTheme="majorEastAsia"/>
        </w:rPr>
        <w:footnoteRef/>
      </w:r>
      <w:r>
        <w:t xml:space="preserve"> Mønstret er dannet </w:t>
      </w:r>
      <w:proofErr w:type="spellStart"/>
      <w:r>
        <w:t>pba</w:t>
      </w:r>
      <w:proofErr w:type="spellEnd"/>
      <w:r>
        <w:t>. af Visitationens oplysninger. Der er usikkerhed knyttet til tallene. Generelt er det sparsomt med oplysninger fra CARE mv. til analysefo</w:t>
      </w:r>
      <w:r>
        <w:t>r</w:t>
      </w:r>
      <w:r>
        <w:t xml:space="preserve">mål. </w:t>
      </w:r>
    </w:p>
  </w:footnote>
  <w:footnote w:id="17">
    <w:p w:rsidR="00220D70" w:rsidRDefault="00220D70" w:rsidP="001D0745">
      <w:pPr>
        <w:pStyle w:val="Fodnotetekst"/>
      </w:pPr>
      <w:r>
        <w:rPr>
          <w:rStyle w:val="Fodnotehenvisning"/>
          <w:rFonts w:eastAsiaTheme="majorEastAsia"/>
        </w:rPr>
        <w:footnoteRef/>
      </w:r>
      <w:r>
        <w:t xml:space="preserve"> Hospice, pårørende og kapel er også en mulighed, men ikke medtaget her. </w:t>
      </w:r>
    </w:p>
  </w:footnote>
  <w:footnote w:id="18">
    <w:p w:rsidR="00BE266E" w:rsidRDefault="00BE266E">
      <w:pPr>
        <w:pStyle w:val="Fodnotetekst"/>
      </w:pPr>
      <w:r>
        <w:rPr>
          <w:rStyle w:val="Fodnotehenvisning"/>
        </w:rPr>
        <w:footnoteRef/>
      </w:r>
      <w:r>
        <w:t xml:space="preserve"> Effektivt blev benyttet 4,5 plads.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hoved"/>
    </w:pPr>
    <w:r>
      <w:rPr>
        <w:noProof/>
      </w:rPr>
      <w:drawing>
        <wp:anchor distT="0" distB="0" distL="114300" distR="114300" simplePos="0" relativeHeight="251657728" behindDoc="1" locked="0" layoutInCell="1" allowOverlap="1">
          <wp:simplePos x="0" y="0"/>
          <wp:positionH relativeFrom="column">
            <wp:posOffset>-1080135</wp:posOffset>
          </wp:positionH>
          <wp:positionV relativeFrom="paragraph">
            <wp:posOffset>-219075</wp:posOffset>
          </wp:positionV>
          <wp:extent cx="7562850" cy="771525"/>
          <wp:effectExtent l="19050" t="0" r="0" b="0"/>
          <wp:wrapTight wrapText="bothSides">
            <wp:wrapPolygon edited="0">
              <wp:start x="-54" y="0"/>
              <wp:lineTo x="-54" y="21333"/>
              <wp:lineTo x="21600" y="21333"/>
              <wp:lineTo x="21600" y="0"/>
              <wp:lineTo x="-54" y="0"/>
            </wp:wrapPolygon>
          </wp:wrapTight>
          <wp:docPr id="8" name="Billede 8" descr="Header_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eader_word"/>
                  <pic:cNvPicPr>
                    <a:picLocks noChangeAspect="1" noChangeArrowheads="1"/>
                  </pic:cNvPicPr>
                </pic:nvPicPr>
                <pic:blipFill>
                  <a:blip r:embed="rId1"/>
                  <a:srcRect/>
                  <a:stretch>
                    <a:fillRect/>
                  </a:stretch>
                </pic:blipFill>
                <pic:spPr bwMode="auto">
                  <a:xfrm>
                    <a:off x="0" y="0"/>
                    <a:ext cx="7562850" cy="77152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hoved"/>
      <w:rPr>
        <w:rStyle w:val="Sidetal"/>
        <w:sz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0D70" w:rsidRDefault="00220D70">
    <w:pPr>
      <w:pStyle w:val="Sidehoved"/>
      <w:rPr>
        <w:rStyle w:val="Sidetal"/>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66EB5"/>
    <w:multiLevelType w:val="hybridMultilevel"/>
    <w:tmpl w:val="EDCA0E22"/>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nsid w:val="266D6FD1"/>
    <w:multiLevelType w:val="hybridMultilevel"/>
    <w:tmpl w:val="D80CBFBC"/>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nsid w:val="64B11F33"/>
    <w:multiLevelType w:val="multilevel"/>
    <w:tmpl w:val="04060025"/>
    <w:lvl w:ilvl="0">
      <w:start w:val="1"/>
      <w:numFmt w:val="decimal"/>
      <w:pStyle w:val="Overskrift1"/>
      <w:lvlText w:val="%1"/>
      <w:lvlJc w:val="left"/>
      <w:pPr>
        <w:ind w:left="432" w:hanging="432"/>
      </w:pPr>
    </w:lvl>
    <w:lvl w:ilvl="1">
      <w:start w:val="1"/>
      <w:numFmt w:val="decimal"/>
      <w:pStyle w:val="Overskrift2"/>
      <w:lvlText w:val="%1.%2"/>
      <w:lvlJc w:val="left"/>
      <w:pPr>
        <w:ind w:left="576" w:hanging="576"/>
      </w:pPr>
    </w:lvl>
    <w:lvl w:ilvl="2">
      <w:start w:val="1"/>
      <w:numFmt w:val="decimal"/>
      <w:pStyle w:val="Overskrift3"/>
      <w:lvlText w:val="%1.%2.%3"/>
      <w:lvlJc w:val="left"/>
      <w:pPr>
        <w:ind w:left="72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3">
    <w:nsid w:val="7C8A06B5"/>
    <w:multiLevelType w:val="hybridMultilevel"/>
    <w:tmpl w:val="FA7AE22A"/>
    <w:lvl w:ilvl="0" w:tplc="04060019">
      <w:start w:val="1"/>
      <w:numFmt w:val="lowerLetter"/>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2"/>
  </w:num>
  <w:num w:numId="6">
    <w:abstractNumId w:val="2"/>
  </w:num>
  <w:num w:numId="7">
    <w:abstractNumId w:val="2"/>
  </w:num>
  <w:num w:numId="8">
    <w:abstractNumId w:val="2"/>
  </w:num>
  <w:num w:numId="9">
    <w:abstractNumId w:val="2"/>
  </w:num>
  <w:num w:numId="10">
    <w:abstractNumId w:val="2"/>
  </w:num>
  <w:num w:numId="11">
    <w:abstractNumId w:val="2"/>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1304"/>
  <w:autoHyphenation/>
  <w:hyphenationZone w:val="142"/>
  <w:doNotHyphenateCaps/>
  <w:drawingGridHorizontalSpacing w:val="100"/>
  <w:displayHorizontalDrawingGridEvery w:val="0"/>
  <w:displayVerticalDrawingGridEvery w:val="0"/>
  <w:noPunctuationKerning/>
  <w:characterSpacingControl w:val="doNotCompress"/>
  <w:hdrShapeDefaults>
    <o:shapedefaults v:ext="edit" spidmax="73729"/>
  </w:hdrShapeDefaults>
  <w:footnotePr>
    <w:footnote w:id="-1"/>
    <w:footnote w:id="0"/>
  </w:footnotePr>
  <w:endnotePr>
    <w:endnote w:id="-1"/>
    <w:endnote w:id="0"/>
  </w:endnotePr>
  <w:compat/>
  <w:docVars>
    <w:docVar w:name="BaggrundsTekst" w:val="Kopi"/>
    <w:docVar w:name="Kolonne1" w:val="280"/>
    <w:docVar w:name="Kolonne2" w:val="80"/>
    <w:docVar w:name="Kolonne3" w:val="80"/>
  </w:docVars>
  <w:rsids>
    <w:rsidRoot w:val="00970D77"/>
    <w:rsid w:val="00004A63"/>
    <w:rsid w:val="000052F1"/>
    <w:rsid w:val="00013FA5"/>
    <w:rsid w:val="00015DCF"/>
    <w:rsid w:val="00021B5C"/>
    <w:rsid w:val="00065E19"/>
    <w:rsid w:val="00066902"/>
    <w:rsid w:val="000679BC"/>
    <w:rsid w:val="00072647"/>
    <w:rsid w:val="00074FA7"/>
    <w:rsid w:val="00076CD0"/>
    <w:rsid w:val="000774E2"/>
    <w:rsid w:val="00091781"/>
    <w:rsid w:val="000A0736"/>
    <w:rsid w:val="000A2716"/>
    <w:rsid w:val="000B05D0"/>
    <w:rsid w:val="000B7AC1"/>
    <w:rsid w:val="000D1302"/>
    <w:rsid w:val="000D1953"/>
    <w:rsid w:val="000D1B5F"/>
    <w:rsid w:val="000D27A6"/>
    <w:rsid w:val="000D50A8"/>
    <w:rsid w:val="000E0EDC"/>
    <w:rsid w:val="000E2AC8"/>
    <w:rsid w:val="000F0D27"/>
    <w:rsid w:val="00121033"/>
    <w:rsid w:val="0012263D"/>
    <w:rsid w:val="0012357A"/>
    <w:rsid w:val="001330DC"/>
    <w:rsid w:val="00136337"/>
    <w:rsid w:val="00143E15"/>
    <w:rsid w:val="00151009"/>
    <w:rsid w:val="00153D3A"/>
    <w:rsid w:val="001555CB"/>
    <w:rsid w:val="00161C27"/>
    <w:rsid w:val="00161F9D"/>
    <w:rsid w:val="001650A7"/>
    <w:rsid w:val="00171DF7"/>
    <w:rsid w:val="0017261E"/>
    <w:rsid w:val="00174873"/>
    <w:rsid w:val="00175DF8"/>
    <w:rsid w:val="001776E5"/>
    <w:rsid w:val="00177C07"/>
    <w:rsid w:val="00180D11"/>
    <w:rsid w:val="00182356"/>
    <w:rsid w:val="00184473"/>
    <w:rsid w:val="00186171"/>
    <w:rsid w:val="00186E32"/>
    <w:rsid w:val="0019047D"/>
    <w:rsid w:val="0019111E"/>
    <w:rsid w:val="001A122D"/>
    <w:rsid w:val="001A174C"/>
    <w:rsid w:val="001B1090"/>
    <w:rsid w:val="001D0745"/>
    <w:rsid w:val="001E645A"/>
    <w:rsid w:val="001F4021"/>
    <w:rsid w:val="001F638E"/>
    <w:rsid w:val="00205840"/>
    <w:rsid w:val="00207B76"/>
    <w:rsid w:val="002103B6"/>
    <w:rsid w:val="0021232E"/>
    <w:rsid w:val="00212407"/>
    <w:rsid w:val="00220D70"/>
    <w:rsid w:val="002242A5"/>
    <w:rsid w:val="0023678B"/>
    <w:rsid w:val="002369DF"/>
    <w:rsid w:val="002376E8"/>
    <w:rsid w:val="00262492"/>
    <w:rsid w:val="0026487B"/>
    <w:rsid w:val="00264C43"/>
    <w:rsid w:val="002714E6"/>
    <w:rsid w:val="00281442"/>
    <w:rsid w:val="00283414"/>
    <w:rsid w:val="002902AD"/>
    <w:rsid w:val="0029247A"/>
    <w:rsid w:val="00293DEF"/>
    <w:rsid w:val="00296A32"/>
    <w:rsid w:val="002A1ED3"/>
    <w:rsid w:val="002A3C0C"/>
    <w:rsid w:val="002C5F0A"/>
    <w:rsid w:val="002D0426"/>
    <w:rsid w:val="002F64EB"/>
    <w:rsid w:val="003079B3"/>
    <w:rsid w:val="003239DA"/>
    <w:rsid w:val="003269F7"/>
    <w:rsid w:val="00333F1F"/>
    <w:rsid w:val="0033572E"/>
    <w:rsid w:val="00345F40"/>
    <w:rsid w:val="00355545"/>
    <w:rsid w:val="0036011D"/>
    <w:rsid w:val="0036042A"/>
    <w:rsid w:val="00361D35"/>
    <w:rsid w:val="00363528"/>
    <w:rsid w:val="003644FB"/>
    <w:rsid w:val="003734ED"/>
    <w:rsid w:val="003742A5"/>
    <w:rsid w:val="00382411"/>
    <w:rsid w:val="00386FEC"/>
    <w:rsid w:val="00390D13"/>
    <w:rsid w:val="003C24A3"/>
    <w:rsid w:val="003C4C8A"/>
    <w:rsid w:val="003D2E25"/>
    <w:rsid w:val="003D6D4B"/>
    <w:rsid w:val="003E0C38"/>
    <w:rsid w:val="003E4289"/>
    <w:rsid w:val="003F5205"/>
    <w:rsid w:val="00404F5A"/>
    <w:rsid w:val="0041109A"/>
    <w:rsid w:val="0041131C"/>
    <w:rsid w:val="00425234"/>
    <w:rsid w:val="00427110"/>
    <w:rsid w:val="0042764E"/>
    <w:rsid w:val="00433EDC"/>
    <w:rsid w:val="00434F04"/>
    <w:rsid w:val="004462B8"/>
    <w:rsid w:val="004510B2"/>
    <w:rsid w:val="00467521"/>
    <w:rsid w:val="00470644"/>
    <w:rsid w:val="00471D71"/>
    <w:rsid w:val="00473D24"/>
    <w:rsid w:val="00482800"/>
    <w:rsid w:val="00482F03"/>
    <w:rsid w:val="00483C73"/>
    <w:rsid w:val="00485054"/>
    <w:rsid w:val="00490507"/>
    <w:rsid w:val="004A0984"/>
    <w:rsid w:val="004B15D6"/>
    <w:rsid w:val="004C2CB3"/>
    <w:rsid w:val="004C4C7B"/>
    <w:rsid w:val="004C7694"/>
    <w:rsid w:val="004D0D69"/>
    <w:rsid w:val="004D4FF6"/>
    <w:rsid w:val="004E395D"/>
    <w:rsid w:val="004E7F09"/>
    <w:rsid w:val="00513704"/>
    <w:rsid w:val="00515429"/>
    <w:rsid w:val="00515610"/>
    <w:rsid w:val="00522B66"/>
    <w:rsid w:val="0052373B"/>
    <w:rsid w:val="00523BAA"/>
    <w:rsid w:val="005320E2"/>
    <w:rsid w:val="00534318"/>
    <w:rsid w:val="00546062"/>
    <w:rsid w:val="00553549"/>
    <w:rsid w:val="005569B1"/>
    <w:rsid w:val="005626DA"/>
    <w:rsid w:val="005746DD"/>
    <w:rsid w:val="005747DF"/>
    <w:rsid w:val="005750F9"/>
    <w:rsid w:val="00586BD2"/>
    <w:rsid w:val="00596C9C"/>
    <w:rsid w:val="005A2ACF"/>
    <w:rsid w:val="005C061B"/>
    <w:rsid w:val="005C117F"/>
    <w:rsid w:val="005F353C"/>
    <w:rsid w:val="005F4EB0"/>
    <w:rsid w:val="005F6E08"/>
    <w:rsid w:val="00601BB8"/>
    <w:rsid w:val="00606991"/>
    <w:rsid w:val="006316DF"/>
    <w:rsid w:val="0063233D"/>
    <w:rsid w:val="006340D7"/>
    <w:rsid w:val="006420F4"/>
    <w:rsid w:val="0064463E"/>
    <w:rsid w:val="00651D85"/>
    <w:rsid w:val="0067135C"/>
    <w:rsid w:val="006829E5"/>
    <w:rsid w:val="00691AF0"/>
    <w:rsid w:val="00693DD2"/>
    <w:rsid w:val="0069467F"/>
    <w:rsid w:val="00696084"/>
    <w:rsid w:val="0069712D"/>
    <w:rsid w:val="006A0A52"/>
    <w:rsid w:val="006A2B77"/>
    <w:rsid w:val="006A2EE1"/>
    <w:rsid w:val="006B50BD"/>
    <w:rsid w:val="006B75D7"/>
    <w:rsid w:val="006C3470"/>
    <w:rsid w:val="006C515F"/>
    <w:rsid w:val="006D5D46"/>
    <w:rsid w:val="006D792E"/>
    <w:rsid w:val="006F0B1C"/>
    <w:rsid w:val="006F160C"/>
    <w:rsid w:val="006F285A"/>
    <w:rsid w:val="00704849"/>
    <w:rsid w:val="0070524B"/>
    <w:rsid w:val="00713DBB"/>
    <w:rsid w:val="007275DC"/>
    <w:rsid w:val="007326A3"/>
    <w:rsid w:val="00732EAE"/>
    <w:rsid w:val="007336BF"/>
    <w:rsid w:val="00740D4D"/>
    <w:rsid w:val="007504F9"/>
    <w:rsid w:val="00756D18"/>
    <w:rsid w:val="00757400"/>
    <w:rsid w:val="007621E9"/>
    <w:rsid w:val="00774720"/>
    <w:rsid w:val="00786B30"/>
    <w:rsid w:val="007A59F7"/>
    <w:rsid w:val="007C4E6D"/>
    <w:rsid w:val="007C64DD"/>
    <w:rsid w:val="007D5AC5"/>
    <w:rsid w:val="007E123F"/>
    <w:rsid w:val="007E73C6"/>
    <w:rsid w:val="007F6B80"/>
    <w:rsid w:val="008106FD"/>
    <w:rsid w:val="00810E00"/>
    <w:rsid w:val="00810FD4"/>
    <w:rsid w:val="008123FE"/>
    <w:rsid w:val="0082126C"/>
    <w:rsid w:val="008374F3"/>
    <w:rsid w:val="008431DA"/>
    <w:rsid w:val="00854C11"/>
    <w:rsid w:val="00861B9F"/>
    <w:rsid w:val="008663AE"/>
    <w:rsid w:val="00871D5C"/>
    <w:rsid w:val="008803CD"/>
    <w:rsid w:val="00887CC6"/>
    <w:rsid w:val="0089092F"/>
    <w:rsid w:val="00893152"/>
    <w:rsid w:val="00893C55"/>
    <w:rsid w:val="008B0212"/>
    <w:rsid w:val="008B102F"/>
    <w:rsid w:val="008C5D95"/>
    <w:rsid w:val="008C650F"/>
    <w:rsid w:val="008C7581"/>
    <w:rsid w:val="008D2ED6"/>
    <w:rsid w:val="008D440B"/>
    <w:rsid w:val="008E2893"/>
    <w:rsid w:val="008E2FBA"/>
    <w:rsid w:val="008E519E"/>
    <w:rsid w:val="008F2408"/>
    <w:rsid w:val="00905705"/>
    <w:rsid w:val="00906764"/>
    <w:rsid w:val="009072EC"/>
    <w:rsid w:val="009226A6"/>
    <w:rsid w:val="00937A83"/>
    <w:rsid w:val="009440AC"/>
    <w:rsid w:val="009450D8"/>
    <w:rsid w:val="009618AE"/>
    <w:rsid w:val="00970D77"/>
    <w:rsid w:val="009750FC"/>
    <w:rsid w:val="00980F37"/>
    <w:rsid w:val="00982D9C"/>
    <w:rsid w:val="00982F4C"/>
    <w:rsid w:val="00984F9A"/>
    <w:rsid w:val="00987451"/>
    <w:rsid w:val="009B53AE"/>
    <w:rsid w:val="009C6547"/>
    <w:rsid w:val="009C6CBE"/>
    <w:rsid w:val="009E6A5A"/>
    <w:rsid w:val="00A0241E"/>
    <w:rsid w:val="00A0781D"/>
    <w:rsid w:val="00A078F3"/>
    <w:rsid w:val="00A16975"/>
    <w:rsid w:val="00A33A77"/>
    <w:rsid w:val="00A46F56"/>
    <w:rsid w:val="00A57963"/>
    <w:rsid w:val="00A718BD"/>
    <w:rsid w:val="00A739E5"/>
    <w:rsid w:val="00A85EAF"/>
    <w:rsid w:val="00A944A0"/>
    <w:rsid w:val="00A9609F"/>
    <w:rsid w:val="00A9633A"/>
    <w:rsid w:val="00A96DA0"/>
    <w:rsid w:val="00AA164C"/>
    <w:rsid w:val="00AA7C15"/>
    <w:rsid w:val="00AB4B3C"/>
    <w:rsid w:val="00AB5970"/>
    <w:rsid w:val="00AB616B"/>
    <w:rsid w:val="00AC3CF8"/>
    <w:rsid w:val="00AD0B88"/>
    <w:rsid w:val="00AD6806"/>
    <w:rsid w:val="00B14ABA"/>
    <w:rsid w:val="00B17F7C"/>
    <w:rsid w:val="00B208AB"/>
    <w:rsid w:val="00B278C7"/>
    <w:rsid w:val="00B32BB3"/>
    <w:rsid w:val="00B40CE3"/>
    <w:rsid w:val="00B41E6D"/>
    <w:rsid w:val="00B42B40"/>
    <w:rsid w:val="00B44BAC"/>
    <w:rsid w:val="00B56A82"/>
    <w:rsid w:val="00B63605"/>
    <w:rsid w:val="00B65F2E"/>
    <w:rsid w:val="00B6715E"/>
    <w:rsid w:val="00B72C09"/>
    <w:rsid w:val="00B856F2"/>
    <w:rsid w:val="00B87E48"/>
    <w:rsid w:val="00B9541B"/>
    <w:rsid w:val="00B97892"/>
    <w:rsid w:val="00BB6251"/>
    <w:rsid w:val="00BC3764"/>
    <w:rsid w:val="00BE266E"/>
    <w:rsid w:val="00BE26E9"/>
    <w:rsid w:val="00BF50CF"/>
    <w:rsid w:val="00C03676"/>
    <w:rsid w:val="00C07C76"/>
    <w:rsid w:val="00C11D94"/>
    <w:rsid w:val="00C31F08"/>
    <w:rsid w:val="00C32665"/>
    <w:rsid w:val="00C37386"/>
    <w:rsid w:val="00C462EE"/>
    <w:rsid w:val="00C616E3"/>
    <w:rsid w:val="00C6743D"/>
    <w:rsid w:val="00C72B0C"/>
    <w:rsid w:val="00C73257"/>
    <w:rsid w:val="00C77F6F"/>
    <w:rsid w:val="00C8145E"/>
    <w:rsid w:val="00C90C23"/>
    <w:rsid w:val="00CC03B8"/>
    <w:rsid w:val="00CD4218"/>
    <w:rsid w:val="00CE29E8"/>
    <w:rsid w:val="00CE7111"/>
    <w:rsid w:val="00D0183E"/>
    <w:rsid w:val="00D41518"/>
    <w:rsid w:val="00D51FA7"/>
    <w:rsid w:val="00D54FB1"/>
    <w:rsid w:val="00D667CE"/>
    <w:rsid w:val="00D7214B"/>
    <w:rsid w:val="00D72463"/>
    <w:rsid w:val="00D81DEA"/>
    <w:rsid w:val="00D9233B"/>
    <w:rsid w:val="00D951F8"/>
    <w:rsid w:val="00DB5349"/>
    <w:rsid w:val="00DB7BAC"/>
    <w:rsid w:val="00DC03CE"/>
    <w:rsid w:val="00DC59A4"/>
    <w:rsid w:val="00DD2927"/>
    <w:rsid w:val="00DD63F7"/>
    <w:rsid w:val="00DE0556"/>
    <w:rsid w:val="00DF1B6A"/>
    <w:rsid w:val="00E01AB6"/>
    <w:rsid w:val="00E046F9"/>
    <w:rsid w:val="00E07599"/>
    <w:rsid w:val="00E34E78"/>
    <w:rsid w:val="00E435D0"/>
    <w:rsid w:val="00E512BB"/>
    <w:rsid w:val="00E5135B"/>
    <w:rsid w:val="00E553F0"/>
    <w:rsid w:val="00E602D5"/>
    <w:rsid w:val="00E71B74"/>
    <w:rsid w:val="00E87000"/>
    <w:rsid w:val="00EA2BAF"/>
    <w:rsid w:val="00EA5147"/>
    <w:rsid w:val="00EB5A55"/>
    <w:rsid w:val="00ED3450"/>
    <w:rsid w:val="00EE5235"/>
    <w:rsid w:val="00F07B67"/>
    <w:rsid w:val="00F10C4C"/>
    <w:rsid w:val="00F335D4"/>
    <w:rsid w:val="00F349DA"/>
    <w:rsid w:val="00F35F25"/>
    <w:rsid w:val="00F4649F"/>
    <w:rsid w:val="00F60C52"/>
    <w:rsid w:val="00F71413"/>
    <w:rsid w:val="00F753B7"/>
    <w:rsid w:val="00F7562C"/>
    <w:rsid w:val="00F756BB"/>
    <w:rsid w:val="00F77ABD"/>
    <w:rsid w:val="00F77D6C"/>
    <w:rsid w:val="00F80A04"/>
    <w:rsid w:val="00F915AC"/>
    <w:rsid w:val="00F93FC3"/>
    <w:rsid w:val="00F959A6"/>
    <w:rsid w:val="00F9606A"/>
    <w:rsid w:val="00FA18E4"/>
    <w:rsid w:val="00FA55AD"/>
    <w:rsid w:val="00FB72D2"/>
    <w:rsid w:val="00FC0793"/>
    <w:rsid w:val="00FE7258"/>
    <w:rsid w:val="00FF2024"/>
    <w:rsid w:val="00FF5319"/>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able of figures" w:uiPriority="99"/>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82356"/>
    <w:rPr>
      <w:rFonts w:ascii="Verdana" w:hAnsi="Verdana"/>
    </w:rPr>
  </w:style>
  <w:style w:type="paragraph" w:styleId="Overskrift1">
    <w:name w:val="heading 1"/>
    <w:basedOn w:val="Normal"/>
    <w:next w:val="Normal"/>
    <w:qFormat/>
    <w:rsid w:val="00182356"/>
    <w:pPr>
      <w:keepNext/>
      <w:numPr>
        <w:numId w:val="1"/>
      </w:numPr>
      <w:spacing w:before="240" w:after="60"/>
      <w:outlineLvl w:val="0"/>
    </w:pPr>
    <w:rPr>
      <w:rFonts w:ascii="Arial" w:hAnsi="Arial"/>
      <w:b/>
      <w:kern w:val="28"/>
      <w:sz w:val="28"/>
    </w:rPr>
  </w:style>
  <w:style w:type="paragraph" w:styleId="Overskrift2">
    <w:name w:val="heading 2"/>
    <w:basedOn w:val="Normal"/>
    <w:next w:val="Normal"/>
    <w:qFormat/>
    <w:rsid w:val="00182356"/>
    <w:pPr>
      <w:keepNext/>
      <w:numPr>
        <w:ilvl w:val="1"/>
        <w:numId w:val="1"/>
      </w:numPr>
      <w:outlineLvl w:val="1"/>
    </w:pPr>
    <w:rPr>
      <w:rFonts w:ascii="Officina Sans" w:hAnsi="Officina Sans"/>
      <w:b/>
      <w:sz w:val="19"/>
    </w:rPr>
  </w:style>
  <w:style w:type="paragraph" w:styleId="Overskrift3">
    <w:name w:val="heading 3"/>
    <w:basedOn w:val="Normal"/>
    <w:next w:val="Normal"/>
    <w:qFormat/>
    <w:rsid w:val="00482F03"/>
    <w:pPr>
      <w:keepNext/>
      <w:numPr>
        <w:ilvl w:val="2"/>
        <w:numId w:val="1"/>
      </w:numPr>
      <w:outlineLvl w:val="2"/>
    </w:pPr>
    <w:rPr>
      <w:rFonts w:ascii="Officina Sans" w:hAnsi="Officina Sans"/>
      <w:b/>
    </w:rPr>
  </w:style>
  <w:style w:type="paragraph" w:styleId="Overskrift4">
    <w:name w:val="heading 4"/>
    <w:basedOn w:val="Normal"/>
    <w:next w:val="Normal"/>
    <w:qFormat/>
    <w:rsid w:val="00182356"/>
    <w:pPr>
      <w:keepNext/>
      <w:numPr>
        <w:ilvl w:val="3"/>
        <w:numId w:val="1"/>
      </w:numPr>
      <w:spacing w:before="240" w:after="60"/>
      <w:outlineLvl w:val="3"/>
    </w:pPr>
    <w:rPr>
      <w:b/>
    </w:rPr>
  </w:style>
  <w:style w:type="paragraph" w:styleId="Overskrift5">
    <w:name w:val="heading 5"/>
    <w:basedOn w:val="Normal"/>
    <w:next w:val="Normal"/>
    <w:link w:val="Overskrift5Tegn"/>
    <w:semiHidden/>
    <w:unhideWhenUsed/>
    <w:qFormat/>
    <w:rsid w:val="0033572E"/>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Overskrift6">
    <w:name w:val="heading 6"/>
    <w:basedOn w:val="Normal"/>
    <w:next w:val="Normal"/>
    <w:link w:val="Overskrift6Tegn"/>
    <w:semiHidden/>
    <w:unhideWhenUsed/>
    <w:qFormat/>
    <w:rsid w:val="0033572E"/>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Overskrift7">
    <w:name w:val="heading 7"/>
    <w:basedOn w:val="Normal"/>
    <w:next w:val="Normal"/>
    <w:link w:val="Overskrift7Tegn"/>
    <w:semiHidden/>
    <w:unhideWhenUsed/>
    <w:qFormat/>
    <w:rsid w:val="0033572E"/>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semiHidden/>
    <w:unhideWhenUsed/>
    <w:qFormat/>
    <w:rsid w:val="0033572E"/>
    <w:pPr>
      <w:keepNext/>
      <w:keepLines/>
      <w:numPr>
        <w:ilvl w:val="7"/>
        <w:numId w:val="1"/>
      </w:numPr>
      <w:spacing w:before="200"/>
      <w:outlineLvl w:val="7"/>
    </w:pPr>
    <w:rPr>
      <w:rFonts w:asciiTheme="majorHAnsi" w:eastAsiaTheme="majorEastAsia" w:hAnsiTheme="majorHAnsi" w:cstheme="majorBidi"/>
      <w:color w:val="404040" w:themeColor="text1" w:themeTint="BF"/>
    </w:rPr>
  </w:style>
  <w:style w:type="paragraph" w:styleId="Overskrift9">
    <w:name w:val="heading 9"/>
    <w:basedOn w:val="Normal"/>
    <w:next w:val="Normal"/>
    <w:link w:val="Overskrift9Tegn"/>
    <w:semiHidden/>
    <w:unhideWhenUsed/>
    <w:qFormat/>
    <w:rsid w:val="0033572E"/>
    <w:pPr>
      <w:keepNext/>
      <w:keepLines/>
      <w:numPr>
        <w:ilvl w:val="8"/>
        <w:numId w:val="1"/>
      </w:numPr>
      <w:spacing w:before="200"/>
      <w:outlineLvl w:val="8"/>
    </w:pPr>
    <w:rPr>
      <w:rFonts w:asciiTheme="majorHAnsi" w:eastAsiaTheme="majorEastAsia" w:hAnsiTheme="majorHAnsi" w:cstheme="majorBidi"/>
      <w:i/>
      <w:iCs/>
      <w:color w:val="404040" w:themeColor="text1" w:themeTint="B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rsid w:val="00182356"/>
    <w:pPr>
      <w:tabs>
        <w:tab w:val="center" w:pos="4819"/>
        <w:tab w:val="right" w:pos="9638"/>
      </w:tabs>
    </w:pPr>
  </w:style>
  <w:style w:type="paragraph" w:styleId="Sidefod">
    <w:name w:val="footer"/>
    <w:basedOn w:val="Normal"/>
    <w:rsid w:val="00182356"/>
    <w:pPr>
      <w:tabs>
        <w:tab w:val="center" w:pos="4819"/>
        <w:tab w:val="right" w:pos="9638"/>
      </w:tabs>
    </w:pPr>
  </w:style>
  <w:style w:type="character" w:styleId="Sidetal">
    <w:name w:val="page number"/>
    <w:basedOn w:val="Standardskrifttypeiafsnit"/>
    <w:rsid w:val="00182356"/>
  </w:style>
  <w:style w:type="character" w:customStyle="1" w:styleId="Overskrift5Tegn">
    <w:name w:val="Overskrift 5 Tegn"/>
    <w:basedOn w:val="Standardskrifttypeiafsnit"/>
    <w:link w:val="Overskrift5"/>
    <w:semiHidden/>
    <w:rsid w:val="0033572E"/>
    <w:rPr>
      <w:rFonts w:asciiTheme="majorHAnsi" w:eastAsiaTheme="majorEastAsia" w:hAnsiTheme="majorHAnsi" w:cstheme="majorBidi"/>
      <w:color w:val="243F60" w:themeColor="accent1" w:themeShade="7F"/>
    </w:rPr>
  </w:style>
  <w:style w:type="character" w:customStyle="1" w:styleId="Overskrift6Tegn">
    <w:name w:val="Overskrift 6 Tegn"/>
    <w:basedOn w:val="Standardskrifttypeiafsnit"/>
    <w:link w:val="Overskrift6"/>
    <w:semiHidden/>
    <w:rsid w:val="0033572E"/>
    <w:rPr>
      <w:rFonts w:asciiTheme="majorHAnsi" w:eastAsiaTheme="majorEastAsia" w:hAnsiTheme="majorHAnsi" w:cstheme="majorBidi"/>
      <w:i/>
      <w:iCs/>
      <w:color w:val="243F60" w:themeColor="accent1" w:themeShade="7F"/>
    </w:rPr>
  </w:style>
  <w:style w:type="character" w:customStyle="1" w:styleId="Overskrift7Tegn">
    <w:name w:val="Overskrift 7 Tegn"/>
    <w:basedOn w:val="Standardskrifttypeiafsnit"/>
    <w:link w:val="Overskrift7"/>
    <w:semiHidden/>
    <w:rsid w:val="0033572E"/>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typeiafsnit"/>
    <w:link w:val="Overskrift8"/>
    <w:semiHidden/>
    <w:rsid w:val="0033572E"/>
    <w:rPr>
      <w:rFonts w:asciiTheme="majorHAnsi" w:eastAsiaTheme="majorEastAsia" w:hAnsiTheme="majorHAnsi" w:cstheme="majorBidi"/>
      <w:color w:val="404040" w:themeColor="text1" w:themeTint="BF"/>
    </w:rPr>
  </w:style>
  <w:style w:type="character" w:customStyle="1" w:styleId="Overskrift9Tegn">
    <w:name w:val="Overskrift 9 Tegn"/>
    <w:basedOn w:val="Standardskrifttypeiafsnit"/>
    <w:link w:val="Overskrift9"/>
    <w:semiHidden/>
    <w:rsid w:val="0033572E"/>
    <w:rPr>
      <w:rFonts w:asciiTheme="majorHAnsi" w:eastAsiaTheme="majorEastAsia" w:hAnsiTheme="majorHAnsi" w:cstheme="majorBidi"/>
      <w:i/>
      <w:iCs/>
      <w:color w:val="404040" w:themeColor="text1" w:themeTint="BF"/>
    </w:rPr>
  </w:style>
  <w:style w:type="paragraph" w:styleId="Overskrift">
    <w:name w:val="TOC Heading"/>
    <w:basedOn w:val="Overskrift1"/>
    <w:next w:val="Normal"/>
    <w:uiPriority w:val="39"/>
    <w:semiHidden/>
    <w:unhideWhenUsed/>
    <w:qFormat/>
    <w:rsid w:val="0033572E"/>
    <w:pPr>
      <w:keepLines/>
      <w:numPr>
        <w:numId w:val="0"/>
      </w:numPr>
      <w:spacing w:before="480" w:after="0" w:line="276" w:lineRule="auto"/>
      <w:outlineLvl w:val="9"/>
    </w:pPr>
    <w:rPr>
      <w:rFonts w:asciiTheme="majorHAnsi" w:eastAsiaTheme="majorEastAsia" w:hAnsiTheme="majorHAnsi" w:cstheme="majorBidi"/>
      <w:bCs/>
      <w:color w:val="365F91" w:themeColor="accent1" w:themeShade="BF"/>
      <w:kern w:val="0"/>
      <w:szCs w:val="28"/>
      <w:lang w:eastAsia="en-US"/>
    </w:rPr>
  </w:style>
  <w:style w:type="paragraph" w:styleId="Indholdsfortegnelse1">
    <w:name w:val="toc 1"/>
    <w:basedOn w:val="Normal"/>
    <w:next w:val="Normal"/>
    <w:autoRedefine/>
    <w:uiPriority w:val="39"/>
    <w:rsid w:val="0033572E"/>
    <w:pPr>
      <w:spacing w:after="100"/>
    </w:pPr>
  </w:style>
  <w:style w:type="paragraph" w:styleId="Indholdsfortegnelse2">
    <w:name w:val="toc 2"/>
    <w:basedOn w:val="Normal"/>
    <w:next w:val="Normal"/>
    <w:autoRedefine/>
    <w:uiPriority w:val="39"/>
    <w:rsid w:val="0033572E"/>
    <w:pPr>
      <w:spacing w:after="100"/>
      <w:ind w:left="200"/>
    </w:pPr>
  </w:style>
  <w:style w:type="paragraph" w:styleId="Indholdsfortegnelse3">
    <w:name w:val="toc 3"/>
    <w:basedOn w:val="Normal"/>
    <w:next w:val="Normal"/>
    <w:autoRedefine/>
    <w:uiPriority w:val="39"/>
    <w:rsid w:val="0033572E"/>
    <w:pPr>
      <w:spacing w:after="100"/>
      <w:ind w:left="400"/>
    </w:pPr>
  </w:style>
  <w:style w:type="character" w:styleId="Hyperlink">
    <w:name w:val="Hyperlink"/>
    <w:basedOn w:val="Standardskrifttypeiafsnit"/>
    <w:uiPriority w:val="99"/>
    <w:unhideWhenUsed/>
    <w:rsid w:val="0033572E"/>
    <w:rPr>
      <w:color w:val="0000FF" w:themeColor="hyperlink"/>
      <w:u w:val="single"/>
    </w:rPr>
  </w:style>
  <w:style w:type="paragraph" w:styleId="Markeringsbobletekst">
    <w:name w:val="Balloon Text"/>
    <w:basedOn w:val="Normal"/>
    <w:link w:val="MarkeringsbobletekstTegn"/>
    <w:rsid w:val="0033572E"/>
    <w:rPr>
      <w:rFonts w:ascii="Tahoma" w:hAnsi="Tahoma" w:cs="Tahoma"/>
      <w:sz w:val="16"/>
      <w:szCs w:val="16"/>
    </w:rPr>
  </w:style>
  <w:style w:type="character" w:customStyle="1" w:styleId="MarkeringsbobletekstTegn">
    <w:name w:val="Markeringsbobletekst Tegn"/>
    <w:basedOn w:val="Standardskrifttypeiafsnit"/>
    <w:link w:val="Markeringsbobletekst"/>
    <w:rsid w:val="0033572E"/>
    <w:rPr>
      <w:rFonts w:ascii="Tahoma" w:hAnsi="Tahoma" w:cs="Tahoma"/>
      <w:sz w:val="16"/>
      <w:szCs w:val="16"/>
    </w:rPr>
  </w:style>
  <w:style w:type="paragraph" w:styleId="Listeafsnit">
    <w:name w:val="List Paragraph"/>
    <w:basedOn w:val="Normal"/>
    <w:uiPriority w:val="34"/>
    <w:qFormat/>
    <w:rsid w:val="008E2893"/>
    <w:pPr>
      <w:ind w:left="720"/>
      <w:contextualSpacing/>
    </w:pPr>
  </w:style>
  <w:style w:type="paragraph" w:styleId="Fodnotetekst">
    <w:name w:val="footnote text"/>
    <w:basedOn w:val="Normal"/>
    <w:link w:val="FodnotetekstTegn"/>
    <w:rsid w:val="008E2893"/>
  </w:style>
  <w:style w:type="character" w:customStyle="1" w:styleId="FodnotetekstTegn">
    <w:name w:val="Fodnotetekst Tegn"/>
    <w:basedOn w:val="Standardskrifttypeiafsnit"/>
    <w:link w:val="Fodnotetekst"/>
    <w:rsid w:val="008E2893"/>
    <w:rPr>
      <w:rFonts w:ascii="Verdana" w:hAnsi="Verdana"/>
    </w:rPr>
  </w:style>
  <w:style w:type="character" w:styleId="Fodnotehenvisning">
    <w:name w:val="footnote reference"/>
    <w:basedOn w:val="Standardskrifttypeiafsnit"/>
    <w:rsid w:val="008E2893"/>
    <w:rPr>
      <w:vertAlign w:val="superscript"/>
    </w:rPr>
  </w:style>
  <w:style w:type="table" w:styleId="Tabel-Gitter">
    <w:name w:val="Table Grid"/>
    <w:basedOn w:val="Tabel-Normal"/>
    <w:uiPriority w:val="59"/>
    <w:rsid w:val="008E2893"/>
    <w:rPr>
      <w:rFonts w:ascii="Verdana" w:eastAsiaTheme="minorHAnsi" w:hAnsi="Verdana" w:cstheme="minorBidi"/>
      <w:sz w:val="24"/>
      <w:szCs w:val="24"/>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illedtekst">
    <w:name w:val="caption"/>
    <w:basedOn w:val="Normal"/>
    <w:next w:val="Normal"/>
    <w:unhideWhenUsed/>
    <w:qFormat/>
    <w:rsid w:val="00AC3CF8"/>
    <w:pPr>
      <w:spacing w:after="200"/>
    </w:pPr>
    <w:rPr>
      <w:b/>
      <w:bCs/>
      <w:color w:val="4F81BD" w:themeColor="accent1"/>
      <w:sz w:val="18"/>
      <w:szCs w:val="18"/>
    </w:rPr>
  </w:style>
  <w:style w:type="paragraph" w:styleId="Bibliografi">
    <w:name w:val="Bibliography"/>
    <w:basedOn w:val="Normal"/>
    <w:next w:val="Normal"/>
    <w:uiPriority w:val="37"/>
    <w:unhideWhenUsed/>
    <w:rsid w:val="00B63605"/>
  </w:style>
  <w:style w:type="paragraph" w:styleId="Listeoverfigurer">
    <w:name w:val="table of figures"/>
    <w:basedOn w:val="Normal"/>
    <w:next w:val="Normal"/>
    <w:uiPriority w:val="99"/>
    <w:rsid w:val="00B63605"/>
  </w:style>
</w:styles>
</file>

<file path=word/webSettings.xml><?xml version="1.0" encoding="utf-8"?>
<w:webSettings xmlns:r="http://schemas.openxmlformats.org/officeDocument/2006/relationships" xmlns:w="http://schemas.openxmlformats.org/wordprocessingml/2006/main">
  <w:divs>
    <w:div w:id="144205279">
      <w:bodyDiv w:val="1"/>
      <w:marLeft w:val="0"/>
      <w:marRight w:val="0"/>
      <w:marTop w:val="0"/>
      <w:marBottom w:val="0"/>
      <w:divBdr>
        <w:top w:val="none" w:sz="0" w:space="0" w:color="auto"/>
        <w:left w:val="none" w:sz="0" w:space="0" w:color="auto"/>
        <w:bottom w:val="none" w:sz="0" w:space="0" w:color="auto"/>
        <w:right w:val="none" w:sz="0" w:space="0" w:color="auto"/>
      </w:divBdr>
    </w:div>
    <w:div w:id="285359781">
      <w:bodyDiv w:val="1"/>
      <w:marLeft w:val="0"/>
      <w:marRight w:val="0"/>
      <w:marTop w:val="0"/>
      <w:marBottom w:val="0"/>
      <w:divBdr>
        <w:top w:val="none" w:sz="0" w:space="0" w:color="auto"/>
        <w:left w:val="none" w:sz="0" w:space="0" w:color="auto"/>
        <w:bottom w:val="none" w:sz="0" w:space="0" w:color="auto"/>
        <w:right w:val="none" w:sz="0" w:space="0" w:color="auto"/>
      </w:divBdr>
    </w:div>
    <w:div w:id="414592948">
      <w:bodyDiv w:val="1"/>
      <w:marLeft w:val="0"/>
      <w:marRight w:val="0"/>
      <w:marTop w:val="0"/>
      <w:marBottom w:val="0"/>
      <w:divBdr>
        <w:top w:val="none" w:sz="0" w:space="0" w:color="auto"/>
        <w:left w:val="none" w:sz="0" w:space="0" w:color="auto"/>
        <w:bottom w:val="none" w:sz="0" w:space="0" w:color="auto"/>
        <w:right w:val="none" w:sz="0" w:space="0" w:color="auto"/>
      </w:divBdr>
    </w:div>
    <w:div w:id="424687768">
      <w:bodyDiv w:val="1"/>
      <w:marLeft w:val="0"/>
      <w:marRight w:val="0"/>
      <w:marTop w:val="0"/>
      <w:marBottom w:val="0"/>
      <w:divBdr>
        <w:top w:val="none" w:sz="0" w:space="0" w:color="auto"/>
        <w:left w:val="none" w:sz="0" w:space="0" w:color="auto"/>
        <w:bottom w:val="none" w:sz="0" w:space="0" w:color="auto"/>
        <w:right w:val="none" w:sz="0" w:space="0" w:color="auto"/>
      </w:divBdr>
    </w:div>
    <w:div w:id="498427802">
      <w:bodyDiv w:val="1"/>
      <w:marLeft w:val="0"/>
      <w:marRight w:val="0"/>
      <w:marTop w:val="0"/>
      <w:marBottom w:val="0"/>
      <w:divBdr>
        <w:top w:val="none" w:sz="0" w:space="0" w:color="auto"/>
        <w:left w:val="none" w:sz="0" w:space="0" w:color="auto"/>
        <w:bottom w:val="none" w:sz="0" w:space="0" w:color="auto"/>
        <w:right w:val="none" w:sz="0" w:space="0" w:color="auto"/>
      </w:divBdr>
    </w:div>
    <w:div w:id="534076241">
      <w:bodyDiv w:val="1"/>
      <w:marLeft w:val="0"/>
      <w:marRight w:val="0"/>
      <w:marTop w:val="0"/>
      <w:marBottom w:val="0"/>
      <w:divBdr>
        <w:top w:val="none" w:sz="0" w:space="0" w:color="auto"/>
        <w:left w:val="none" w:sz="0" w:space="0" w:color="auto"/>
        <w:bottom w:val="none" w:sz="0" w:space="0" w:color="auto"/>
        <w:right w:val="none" w:sz="0" w:space="0" w:color="auto"/>
      </w:divBdr>
    </w:div>
    <w:div w:id="565996849">
      <w:bodyDiv w:val="1"/>
      <w:marLeft w:val="0"/>
      <w:marRight w:val="0"/>
      <w:marTop w:val="0"/>
      <w:marBottom w:val="0"/>
      <w:divBdr>
        <w:top w:val="none" w:sz="0" w:space="0" w:color="auto"/>
        <w:left w:val="none" w:sz="0" w:space="0" w:color="auto"/>
        <w:bottom w:val="none" w:sz="0" w:space="0" w:color="auto"/>
        <w:right w:val="none" w:sz="0" w:space="0" w:color="auto"/>
      </w:divBdr>
    </w:div>
    <w:div w:id="700664863">
      <w:bodyDiv w:val="1"/>
      <w:marLeft w:val="0"/>
      <w:marRight w:val="0"/>
      <w:marTop w:val="0"/>
      <w:marBottom w:val="0"/>
      <w:divBdr>
        <w:top w:val="none" w:sz="0" w:space="0" w:color="auto"/>
        <w:left w:val="none" w:sz="0" w:space="0" w:color="auto"/>
        <w:bottom w:val="none" w:sz="0" w:space="0" w:color="auto"/>
        <w:right w:val="none" w:sz="0" w:space="0" w:color="auto"/>
      </w:divBdr>
    </w:div>
    <w:div w:id="721292212">
      <w:bodyDiv w:val="1"/>
      <w:marLeft w:val="0"/>
      <w:marRight w:val="0"/>
      <w:marTop w:val="0"/>
      <w:marBottom w:val="0"/>
      <w:divBdr>
        <w:top w:val="none" w:sz="0" w:space="0" w:color="auto"/>
        <w:left w:val="none" w:sz="0" w:space="0" w:color="auto"/>
        <w:bottom w:val="none" w:sz="0" w:space="0" w:color="auto"/>
        <w:right w:val="none" w:sz="0" w:space="0" w:color="auto"/>
      </w:divBdr>
    </w:div>
    <w:div w:id="854884321">
      <w:bodyDiv w:val="1"/>
      <w:marLeft w:val="0"/>
      <w:marRight w:val="0"/>
      <w:marTop w:val="0"/>
      <w:marBottom w:val="0"/>
      <w:divBdr>
        <w:top w:val="none" w:sz="0" w:space="0" w:color="auto"/>
        <w:left w:val="none" w:sz="0" w:space="0" w:color="auto"/>
        <w:bottom w:val="none" w:sz="0" w:space="0" w:color="auto"/>
        <w:right w:val="none" w:sz="0" w:space="0" w:color="auto"/>
      </w:divBdr>
    </w:div>
    <w:div w:id="916473838">
      <w:bodyDiv w:val="1"/>
      <w:marLeft w:val="0"/>
      <w:marRight w:val="0"/>
      <w:marTop w:val="0"/>
      <w:marBottom w:val="0"/>
      <w:divBdr>
        <w:top w:val="none" w:sz="0" w:space="0" w:color="auto"/>
        <w:left w:val="none" w:sz="0" w:space="0" w:color="auto"/>
        <w:bottom w:val="none" w:sz="0" w:space="0" w:color="auto"/>
        <w:right w:val="none" w:sz="0" w:space="0" w:color="auto"/>
      </w:divBdr>
    </w:div>
    <w:div w:id="922111211">
      <w:bodyDiv w:val="1"/>
      <w:marLeft w:val="0"/>
      <w:marRight w:val="0"/>
      <w:marTop w:val="0"/>
      <w:marBottom w:val="0"/>
      <w:divBdr>
        <w:top w:val="none" w:sz="0" w:space="0" w:color="auto"/>
        <w:left w:val="none" w:sz="0" w:space="0" w:color="auto"/>
        <w:bottom w:val="none" w:sz="0" w:space="0" w:color="auto"/>
        <w:right w:val="none" w:sz="0" w:space="0" w:color="auto"/>
      </w:divBdr>
    </w:div>
    <w:div w:id="958873141">
      <w:bodyDiv w:val="1"/>
      <w:marLeft w:val="0"/>
      <w:marRight w:val="0"/>
      <w:marTop w:val="0"/>
      <w:marBottom w:val="0"/>
      <w:divBdr>
        <w:top w:val="none" w:sz="0" w:space="0" w:color="auto"/>
        <w:left w:val="none" w:sz="0" w:space="0" w:color="auto"/>
        <w:bottom w:val="none" w:sz="0" w:space="0" w:color="auto"/>
        <w:right w:val="none" w:sz="0" w:space="0" w:color="auto"/>
      </w:divBdr>
    </w:div>
    <w:div w:id="965887731">
      <w:bodyDiv w:val="1"/>
      <w:marLeft w:val="0"/>
      <w:marRight w:val="0"/>
      <w:marTop w:val="0"/>
      <w:marBottom w:val="0"/>
      <w:divBdr>
        <w:top w:val="none" w:sz="0" w:space="0" w:color="auto"/>
        <w:left w:val="none" w:sz="0" w:space="0" w:color="auto"/>
        <w:bottom w:val="none" w:sz="0" w:space="0" w:color="auto"/>
        <w:right w:val="none" w:sz="0" w:space="0" w:color="auto"/>
      </w:divBdr>
    </w:div>
    <w:div w:id="1060439684">
      <w:bodyDiv w:val="1"/>
      <w:marLeft w:val="0"/>
      <w:marRight w:val="0"/>
      <w:marTop w:val="0"/>
      <w:marBottom w:val="0"/>
      <w:divBdr>
        <w:top w:val="none" w:sz="0" w:space="0" w:color="auto"/>
        <w:left w:val="none" w:sz="0" w:space="0" w:color="auto"/>
        <w:bottom w:val="none" w:sz="0" w:space="0" w:color="auto"/>
        <w:right w:val="none" w:sz="0" w:space="0" w:color="auto"/>
      </w:divBdr>
    </w:div>
    <w:div w:id="1126121230">
      <w:bodyDiv w:val="1"/>
      <w:marLeft w:val="0"/>
      <w:marRight w:val="0"/>
      <w:marTop w:val="0"/>
      <w:marBottom w:val="0"/>
      <w:divBdr>
        <w:top w:val="none" w:sz="0" w:space="0" w:color="auto"/>
        <w:left w:val="none" w:sz="0" w:space="0" w:color="auto"/>
        <w:bottom w:val="none" w:sz="0" w:space="0" w:color="auto"/>
        <w:right w:val="none" w:sz="0" w:space="0" w:color="auto"/>
      </w:divBdr>
    </w:div>
    <w:div w:id="1279221876">
      <w:bodyDiv w:val="1"/>
      <w:marLeft w:val="0"/>
      <w:marRight w:val="0"/>
      <w:marTop w:val="0"/>
      <w:marBottom w:val="0"/>
      <w:divBdr>
        <w:top w:val="none" w:sz="0" w:space="0" w:color="auto"/>
        <w:left w:val="none" w:sz="0" w:space="0" w:color="auto"/>
        <w:bottom w:val="none" w:sz="0" w:space="0" w:color="auto"/>
        <w:right w:val="none" w:sz="0" w:space="0" w:color="auto"/>
      </w:divBdr>
    </w:div>
    <w:div w:id="1396589430">
      <w:bodyDiv w:val="1"/>
      <w:marLeft w:val="0"/>
      <w:marRight w:val="0"/>
      <w:marTop w:val="0"/>
      <w:marBottom w:val="0"/>
      <w:divBdr>
        <w:top w:val="none" w:sz="0" w:space="0" w:color="auto"/>
        <w:left w:val="none" w:sz="0" w:space="0" w:color="auto"/>
        <w:bottom w:val="none" w:sz="0" w:space="0" w:color="auto"/>
        <w:right w:val="none" w:sz="0" w:space="0" w:color="auto"/>
      </w:divBdr>
    </w:div>
    <w:div w:id="1530416002">
      <w:bodyDiv w:val="1"/>
      <w:marLeft w:val="0"/>
      <w:marRight w:val="0"/>
      <w:marTop w:val="0"/>
      <w:marBottom w:val="0"/>
      <w:divBdr>
        <w:top w:val="none" w:sz="0" w:space="0" w:color="auto"/>
        <w:left w:val="none" w:sz="0" w:space="0" w:color="auto"/>
        <w:bottom w:val="none" w:sz="0" w:space="0" w:color="auto"/>
        <w:right w:val="none" w:sz="0" w:space="0" w:color="auto"/>
      </w:divBdr>
    </w:div>
    <w:div w:id="1647129372">
      <w:bodyDiv w:val="1"/>
      <w:marLeft w:val="0"/>
      <w:marRight w:val="0"/>
      <w:marTop w:val="0"/>
      <w:marBottom w:val="0"/>
      <w:divBdr>
        <w:top w:val="none" w:sz="0" w:space="0" w:color="auto"/>
        <w:left w:val="none" w:sz="0" w:space="0" w:color="auto"/>
        <w:bottom w:val="none" w:sz="0" w:space="0" w:color="auto"/>
        <w:right w:val="none" w:sz="0" w:space="0" w:color="auto"/>
      </w:divBdr>
    </w:div>
    <w:div w:id="1663854155">
      <w:bodyDiv w:val="1"/>
      <w:marLeft w:val="0"/>
      <w:marRight w:val="0"/>
      <w:marTop w:val="0"/>
      <w:marBottom w:val="0"/>
      <w:divBdr>
        <w:top w:val="none" w:sz="0" w:space="0" w:color="auto"/>
        <w:left w:val="none" w:sz="0" w:space="0" w:color="auto"/>
        <w:bottom w:val="none" w:sz="0" w:space="0" w:color="auto"/>
        <w:right w:val="none" w:sz="0" w:space="0" w:color="auto"/>
      </w:divBdr>
    </w:div>
    <w:div w:id="1679768443">
      <w:bodyDiv w:val="1"/>
      <w:marLeft w:val="0"/>
      <w:marRight w:val="0"/>
      <w:marTop w:val="0"/>
      <w:marBottom w:val="0"/>
      <w:divBdr>
        <w:top w:val="none" w:sz="0" w:space="0" w:color="auto"/>
        <w:left w:val="none" w:sz="0" w:space="0" w:color="auto"/>
        <w:bottom w:val="none" w:sz="0" w:space="0" w:color="auto"/>
        <w:right w:val="none" w:sz="0" w:space="0" w:color="auto"/>
      </w:divBdr>
    </w:div>
    <w:div w:id="1798403733">
      <w:bodyDiv w:val="1"/>
      <w:marLeft w:val="0"/>
      <w:marRight w:val="0"/>
      <w:marTop w:val="0"/>
      <w:marBottom w:val="0"/>
      <w:divBdr>
        <w:top w:val="none" w:sz="0" w:space="0" w:color="auto"/>
        <w:left w:val="none" w:sz="0" w:space="0" w:color="auto"/>
        <w:bottom w:val="none" w:sz="0" w:space="0" w:color="auto"/>
        <w:right w:val="none" w:sz="0" w:space="0" w:color="auto"/>
      </w:divBdr>
    </w:div>
    <w:div w:id="1869483570">
      <w:bodyDiv w:val="1"/>
      <w:marLeft w:val="0"/>
      <w:marRight w:val="0"/>
      <w:marTop w:val="0"/>
      <w:marBottom w:val="0"/>
      <w:divBdr>
        <w:top w:val="none" w:sz="0" w:space="0" w:color="auto"/>
        <w:left w:val="none" w:sz="0" w:space="0" w:color="auto"/>
        <w:bottom w:val="none" w:sz="0" w:space="0" w:color="auto"/>
        <w:right w:val="none" w:sz="0" w:space="0" w:color="auto"/>
      </w:divBdr>
    </w:div>
    <w:div w:id="1911385705">
      <w:bodyDiv w:val="1"/>
      <w:marLeft w:val="0"/>
      <w:marRight w:val="0"/>
      <w:marTop w:val="0"/>
      <w:marBottom w:val="0"/>
      <w:divBdr>
        <w:top w:val="none" w:sz="0" w:space="0" w:color="auto"/>
        <w:left w:val="none" w:sz="0" w:space="0" w:color="auto"/>
        <w:bottom w:val="none" w:sz="0" w:space="0" w:color="auto"/>
        <w:right w:val="none" w:sz="0" w:space="0" w:color="auto"/>
      </w:divBdr>
    </w:div>
    <w:div w:id="2110929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jpeg"/><Relationship Id="rId18" Type="http://schemas.openxmlformats.org/officeDocument/2006/relationships/image" Target="media/image5.png"/><Relationship Id="rId26" Type="http://schemas.microsoft.com/office/2007/relationships/diagramDrawing" Target="diagrams/drawing1.xml"/><Relationship Id="rId39"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diagramData" Target="diagrams/data2.xml"/><Relationship Id="rId42"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footer" Target="footer3.xml"/><Relationship Id="rId25" Type="http://schemas.openxmlformats.org/officeDocument/2006/relationships/diagramColors" Target="diagrams/colors1.xml"/><Relationship Id="rId33" Type="http://schemas.openxmlformats.org/officeDocument/2006/relationships/chart" Target="charts/chart5.xml"/><Relationship Id="rId38" Type="http://schemas.microsoft.com/office/2007/relationships/diagramDrawing" Target="diagrams/drawing2.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7.wmf"/><Relationship Id="rId29" Type="http://schemas.openxmlformats.org/officeDocument/2006/relationships/image" Target="media/image10.png"/><Relationship Id="rId41" Type="http://schemas.openxmlformats.org/officeDocument/2006/relationships/image" Target="media/image13.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diagramQuickStyle" Target="diagrams/quickStyle1.xml"/><Relationship Id="rId32" Type="http://schemas.openxmlformats.org/officeDocument/2006/relationships/image" Target="media/image12.wmf"/><Relationship Id="rId37" Type="http://schemas.openxmlformats.org/officeDocument/2006/relationships/diagramColors" Target="diagrams/colors2.xml"/><Relationship Id="rId40" Type="http://schemas.openxmlformats.org/officeDocument/2006/relationships/chart" Target="charts/chart7.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diagramLayout" Target="diagrams/layout1.xml"/><Relationship Id="rId28" Type="http://schemas.openxmlformats.org/officeDocument/2006/relationships/image" Target="media/image9.png"/><Relationship Id="rId36" Type="http://schemas.openxmlformats.org/officeDocument/2006/relationships/diagramQuickStyle" Target="diagrams/quickStyle2.xml"/><Relationship Id="rId10" Type="http://schemas.openxmlformats.org/officeDocument/2006/relationships/image" Target="media/image2.wmf"/><Relationship Id="rId19" Type="http://schemas.openxmlformats.org/officeDocument/2006/relationships/image" Target="media/image6.wmf"/><Relationship Id="rId31" Type="http://schemas.openxmlformats.org/officeDocument/2006/relationships/image" Target="media/image11.wmf"/><Relationship Id="rId44"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wmf"/><Relationship Id="rId22" Type="http://schemas.openxmlformats.org/officeDocument/2006/relationships/diagramData" Target="diagrams/data1.xml"/><Relationship Id="rId27" Type="http://schemas.openxmlformats.org/officeDocument/2006/relationships/chart" Target="charts/chart3.xml"/><Relationship Id="rId30" Type="http://schemas.openxmlformats.org/officeDocument/2006/relationships/chart" Target="charts/chart4.xml"/><Relationship Id="rId35" Type="http://schemas.openxmlformats.org/officeDocument/2006/relationships/diagramLayout" Target="diagrams/layout2.xml"/><Relationship Id="rId43"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LH\AppData\Roaming\Microsoft\Skabeloner\notat.dot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filer1\brugere\allh\Modeller\Data-hjemmeplejen.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filer1\brugere\allh\Modeller\data%20personlig%20pleje%20regression.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drev\brugere\allh\Plejecentre\Demografimodel_plejeboliger%20191215%20ver.%202.xlsm"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drev\brugere\allh\Korttidspladser\Beregning%20af%20plejeboligbehov.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drev\brugere\allh\Korttidspladser\Beregning%20af%20plejeboligbehov.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w-drev\brugere\allh\Korttidspladser\Det%20NYE%20skema.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w-drev\brugere\allh\Korttidspladser\Beregning%20af%20plejeboligbehov.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da-DK"/>
  <c:pivotSource>
    <c:name>[Data-hjemmeplejen.xlsx]personlig hjælp pivot!Pivottabel3</c:name>
    <c:fmtId val="-1"/>
  </c:pivotSource>
  <c:chart>
    <c:autoTitleDeleted val="1"/>
    <c:pivotFmts>
      <c:pivotFmt>
        <c:idx val="0"/>
        <c:marker>
          <c:symbol val="none"/>
        </c:marker>
      </c:pivotFmt>
      <c:pivotFmt>
        <c:idx val="1"/>
        <c:marker>
          <c:symbol val="none"/>
        </c:marker>
      </c:pivotFmt>
      <c:pivotFmt>
        <c:idx val="2"/>
        <c:marker>
          <c:symbol val="none"/>
        </c:marker>
      </c:pivotFmt>
      <c:pivotFmt>
        <c:idx val="3"/>
        <c:marker>
          <c:symbol val="none"/>
        </c:marker>
      </c:pivotFmt>
      <c:pivotFmt>
        <c:idx val="4"/>
        <c:marker>
          <c:symbol val="none"/>
        </c:marker>
      </c:pivotFmt>
      <c:pivotFmt>
        <c:idx val="5"/>
        <c:marker>
          <c:symbol val="none"/>
        </c:marker>
      </c:pivotFmt>
      <c:pivotFmt>
        <c:idx val="6"/>
        <c:marker>
          <c:symbol val="none"/>
        </c:marker>
      </c:pivotFmt>
      <c:pivotFmt>
        <c:idx val="7"/>
        <c:marker>
          <c:symbol val="none"/>
        </c:marker>
      </c:pivotFmt>
      <c:pivotFmt>
        <c:idx val="8"/>
        <c:marker>
          <c:symbol val="none"/>
        </c:marker>
      </c:pivotFmt>
      <c:pivotFmt>
        <c:idx val="9"/>
        <c:marker>
          <c:symbol val="none"/>
        </c:marker>
      </c:pivotFmt>
      <c:pivotFmt>
        <c:idx val="10"/>
        <c:marker>
          <c:symbol val="none"/>
        </c:marker>
      </c:pivotFmt>
      <c:pivotFmt>
        <c:idx val="11"/>
        <c:marker>
          <c:symbol val="none"/>
        </c:marker>
      </c:pivotFmt>
      <c:pivotFmt>
        <c:idx val="12"/>
        <c:marker>
          <c:symbol val="none"/>
        </c:marker>
      </c:pivotFmt>
      <c:pivotFmt>
        <c:idx val="13"/>
        <c:marker>
          <c:symbol val="none"/>
        </c:marker>
      </c:pivotFmt>
      <c:pivotFmt>
        <c:idx val="14"/>
        <c:marker>
          <c:symbol val="none"/>
        </c:marker>
      </c:pivotFmt>
      <c:pivotFmt>
        <c:idx val="15"/>
        <c:marker>
          <c:symbol val="none"/>
        </c:marker>
      </c:pivotFmt>
      <c:pivotFmt>
        <c:idx val="16"/>
        <c:marker>
          <c:symbol val="none"/>
        </c:marker>
      </c:pivotFmt>
    </c:pivotFmts>
    <c:plotArea>
      <c:layout>
        <c:manualLayout>
          <c:layoutTarget val="inner"/>
          <c:xMode val="edge"/>
          <c:yMode val="edge"/>
          <c:x val="0.12673840769903771"/>
          <c:y val="0.14629977302659244"/>
          <c:w val="0.6029157917760275"/>
          <c:h val="0.66197119846711594"/>
        </c:manualLayout>
      </c:layout>
      <c:barChart>
        <c:barDir val="col"/>
        <c:grouping val="stacked"/>
        <c:ser>
          <c:idx val="0"/>
          <c:order val="0"/>
          <c:tx>
            <c:strRef>
              <c:f>'personlig hjælp pivot'!$N$2:$N$3</c:f>
              <c:strCache>
                <c:ptCount val="1"/>
                <c:pt idx="0">
                  <c:v>0-14</c:v>
                </c:pt>
              </c:strCache>
            </c:strRef>
          </c:tx>
          <c:cat>
            <c:strRef>
              <c:f>'personlig hjælp pivot'!$M$4:$M$7</c:f>
              <c:strCache>
                <c:ptCount val="3"/>
                <c:pt idx="0">
                  <c:v>2011</c:v>
                </c:pt>
                <c:pt idx="1">
                  <c:v>2012</c:v>
                </c:pt>
                <c:pt idx="2">
                  <c:v>2013</c:v>
                </c:pt>
              </c:strCache>
            </c:strRef>
          </c:cat>
          <c:val>
            <c:numRef>
              <c:f>'personlig hjælp pivot'!$N$4:$N$7</c:f>
              <c:numCache>
                <c:formatCode>General</c:formatCode>
                <c:ptCount val="3"/>
                <c:pt idx="0">
                  <c:v>2</c:v>
                </c:pt>
                <c:pt idx="1">
                  <c:v>3</c:v>
                </c:pt>
                <c:pt idx="2">
                  <c:v>4</c:v>
                </c:pt>
              </c:numCache>
            </c:numRef>
          </c:val>
        </c:ser>
        <c:ser>
          <c:idx val="1"/>
          <c:order val="1"/>
          <c:tx>
            <c:strRef>
              <c:f>'personlig hjælp pivot'!$O$2:$O$3</c:f>
              <c:strCache>
                <c:ptCount val="1"/>
                <c:pt idx="0">
                  <c:v>15-59</c:v>
                </c:pt>
              </c:strCache>
            </c:strRef>
          </c:tx>
          <c:cat>
            <c:strRef>
              <c:f>'personlig hjælp pivot'!$M$4:$M$7</c:f>
              <c:strCache>
                <c:ptCount val="3"/>
                <c:pt idx="0">
                  <c:v>2011</c:v>
                </c:pt>
                <c:pt idx="1">
                  <c:v>2012</c:v>
                </c:pt>
                <c:pt idx="2">
                  <c:v>2013</c:v>
                </c:pt>
              </c:strCache>
            </c:strRef>
          </c:cat>
          <c:val>
            <c:numRef>
              <c:f>'personlig hjælp pivot'!$O$4:$O$7</c:f>
              <c:numCache>
                <c:formatCode>General</c:formatCode>
                <c:ptCount val="3"/>
                <c:pt idx="0">
                  <c:v>156</c:v>
                </c:pt>
                <c:pt idx="1">
                  <c:v>142</c:v>
                </c:pt>
                <c:pt idx="2">
                  <c:v>212</c:v>
                </c:pt>
              </c:numCache>
            </c:numRef>
          </c:val>
        </c:ser>
        <c:ser>
          <c:idx val="2"/>
          <c:order val="2"/>
          <c:tx>
            <c:strRef>
              <c:f>'personlig hjælp pivot'!$P$2:$P$3</c:f>
              <c:strCache>
                <c:ptCount val="1"/>
                <c:pt idx="0">
                  <c:v>60-74</c:v>
                </c:pt>
              </c:strCache>
            </c:strRef>
          </c:tx>
          <c:cat>
            <c:strRef>
              <c:f>'personlig hjælp pivot'!$M$4:$M$7</c:f>
              <c:strCache>
                <c:ptCount val="3"/>
                <c:pt idx="0">
                  <c:v>2011</c:v>
                </c:pt>
                <c:pt idx="1">
                  <c:v>2012</c:v>
                </c:pt>
                <c:pt idx="2">
                  <c:v>2013</c:v>
                </c:pt>
              </c:strCache>
            </c:strRef>
          </c:cat>
          <c:val>
            <c:numRef>
              <c:f>'personlig hjælp pivot'!$P$4:$P$7</c:f>
              <c:numCache>
                <c:formatCode>General</c:formatCode>
                <c:ptCount val="3"/>
                <c:pt idx="0">
                  <c:v>461</c:v>
                </c:pt>
                <c:pt idx="1">
                  <c:v>458</c:v>
                </c:pt>
                <c:pt idx="2">
                  <c:v>647</c:v>
                </c:pt>
              </c:numCache>
            </c:numRef>
          </c:val>
        </c:ser>
        <c:ser>
          <c:idx val="3"/>
          <c:order val="3"/>
          <c:tx>
            <c:strRef>
              <c:f>'personlig hjælp pivot'!$Q$2:$Q$3</c:f>
              <c:strCache>
                <c:ptCount val="1"/>
                <c:pt idx="0">
                  <c:v>75-89</c:v>
                </c:pt>
              </c:strCache>
            </c:strRef>
          </c:tx>
          <c:cat>
            <c:strRef>
              <c:f>'personlig hjælp pivot'!$M$4:$M$7</c:f>
              <c:strCache>
                <c:ptCount val="3"/>
                <c:pt idx="0">
                  <c:v>2011</c:v>
                </c:pt>
                <c:pt idx="1">
                  <c:v>2012</c:v>
                </c:pt>
                <c:pt idx="2">
                  <c:v>2013</c:v>
                </c:pt>
              </c:strCache>
            </c:strRef>
          </c:cat>
          <c:val>
            <c:numRef>
              <c:f>'personlig hjælp pivot'!$Q$4:$Q$7</c:f>
              <c:numCache>
                <c:formatCode>General</c:formatCode>
                <c:ptCount val="3"/>
                <c:pt idx="0">
                  <c:v>943</c:v>
                </c:pt>
                <c:pt idx="1">
                  <c:v>883</c:v>
                </c:pt>
                <c:pt idx="2">
                  <c:v>1257</c:v>
                </c:pt>
              </c:numCache>
            </c:numRef>
          </c:val>
        </c:ser>
        <c:ser>
          <c:idx val="4"/>
          <c:order val="4"/>
          <c:tx>
            <c:strRef>
              <c:f>'personlig hjælp pivot'!$R$2:$R$3</c:f>
              <c:strCache>
                <c:ptCount val="1"/>
                <c:pt idx="0">
                  <c:v>90+</c:v>
                </c:pt>
              </c:strCache>
            </c:strRef>
          </c:tx>
          <c:cat>
            <c:strRef>
              <c:f>'personlig hjælp pivot'!$M$4:$M$7</c:f>
              <c:strCache>
                <c:ptCount val="3"/>
                <c:pt idx="0">
                  <c:v>2011</c:v>
                </c:pt>
                <c:pt idx="1">
                  <c:v>2012</c:v>
                </c:pt>
                <c:pt idx="2">
                  <c:v>2013</c:v>
                </c:pt>
              </c:strCache>
            </c:strRef>
          </c:cat>
          <c:val>
            <c:numRef>
              <c:f>'personlig hjælp pivot'!$R$4:$R$7</c:f>
              <c:numCache>
                <c:formatCode>General</c:formatCode>
                <c:ptCount val="3"/>
                <c:pt idx="0">
                  <c:v>147</c:v>
                </c:pt>
                <c:pt idx="1">
                  <c:v>148</c:v>
                </c:pt>
                <c:pt idx="2">
                  <c:v>206</c:v>
                </c:pt>
              </c:numCache>
            </c:numRef>
          </c:val>
        </c:ser>
        <c:overlap val="100"/>
        <c:axId val="220669056"/>
        <c:axId val="220670592"/>
      </c:barChart>
      <c:catAx>
        <c:axId val="220669056"/>
        <c:scaling>
          <c:orientation val="minMax"/>
        </c:scaling>
        <c:axPos val="b"/>
        <c:tickLblPos val="nextTo"/>
        <c:crossAx val="220670592"/>
        <c:crosses val="autoZero"/>
        <c:auto val="1"/>
        <c:lblAlgn val="ctr"/>
        <c:lblOffset val="100"/>
      </c:catAx>
      <c:valAx>
        <c:axId val="220670592"/>
        <c:scaling>
          <c:orientation val="minMax"/>
        </c:scaling>
        <c:axPos val="l"/>
        <c:majorGridlines/>
        <c:title>
          <c:tx>
            <c:rich>
              <a:bodyPr rot="0" vert="horz"/>
              <a:lstStyle/>
              <a:p>
                <a:pPr>
                  <a:defRPr/>
                </a:pPr>
                <a:r>
                  <a:rPr lang="da-DK" sz="700" b="0"/>
                  <a:t>Antal</a:t>
                </a:r>
                <a:r>
                  <a:rPr lang="da-DK" sz="700" b="0" baseline="0"/>
                  <a:t> borgere</a:t>
                </a:r>
                <a:endParaRPr lang="da-DK" sz="700" b="0"/>
              </a:p>
            </c:rich>
          </c:tx>
          <c:layout>
            <c:manualLayout>
              <c:xMode val="edge"/>
              <c:yMode val="edge"/>
              <c:x val="2.113526570048329E-2"/>
              <c:y val="2.5021716591476065E-2"/>
            </c:manualLayout>
          </c:layout>
        </c:title>
        <c:numFmt formatCode="General" sourceLinked="1"/>
        <c:tickLblPos val="nextTo"/>
        <c:crossAx val="220669056"/>
        <c:crosses val="autoZero"/>
        <c:crossBetween val="between"/>
      </c:valAx>
    </c:plotArea>
    <c:legend>
      <c:legendPos val="r"/>
      <c:layout>
        <c:manualLayout>
          <c:xMode val="edge"/>
          <c:yMode val="edge"/>
          <c:x val="0.77132086614173601"/>
          <c:y val="0.23515128317293782"/>
          <c:w val="0.12175268173000166"/>
          <c:h val="0.57296937217449084"/>
        </c:manualLayout>
      </c:layout>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da-DK"/>
  <c:pivotSource>
    <c:name>[data personlig pleje regression.xlsx]data!Pivottabel1</c:name>
    <c:fmtId val="-1"/>
  </c:pivotSource>
  <c:chart>
    <c:autoTitleDeleted val="1"/>
    <c:pivotFmts>
      <c:pivotFmt>
        <c:idx val="0"/>
        <c:marker>
          <c:symbol val="none"/>
        </c:marker>
      </c:pivotFmt>
      <c:pivotFmt>
        <c:idx val="1"/>
        <c:marker>
          <c:symbol val="none"/>
        </c:marker>
      </c:pivotFmt>
      <c:pivotFmt>
        <c:idx val="2"/>
        <c:marker>
          <c:symbol val="none"/>
        </c:marker>
      </c:pivotFmt>
      <c:pivotFmt>
        <c:idx val="3"/>
        <c:marker>
          <c:symbol val="none"/>
        </c:marker>
      </c:pivotFmt>
      <c:pivotFmt>
        <c:idx val="4"/>
        <c:marker>
          <c:symbol val="none"/>
        </c:marker>
      </c:pivotFmt>
      <c:pivotFmt>
        <c:idx val="5"/>
        <c:marker>
          <c:symbol val="none"/>
        </c:marker>
      </c:pivotFmt>
      <c:pivotFmt>
        <c:idx val="6"/>
        <c:marker>
          <c:symbol val="none"/>
        </c:marker>
      </c:pivotFmt>
      <c:pivotFmt>
        <c:idx val="7"/>
        <c:marker>
          <c:symbol val="none"/>
        </c:marker>
      </c:pivotFmt>
      <c:pivotFmt>
        <c:idx val="8"/>
        <c:marker>
          <c:symbol val="none"/>
        </c:marker>
      </c:pivotFmt>
    </c:pivotFmts>
    <c:plotArea>
      <c:layout>
        <c:manualLayout>
          <c:layoutTarget val="inner"/>
          <c:xMode val="edge"/>
          <c:yMode val="edge"/>
          <c:x val="0.10890545282963229"/>
          <c:y val="0.14345107165248094"/>
          <c:w val="0.84445433904095257"/>
          <c:h val="0.5690538429659856"/>
        </c:manualLayout>
      </c:layout>
      <c:barChart>
        <c:barDir val="col"/>
        <c:grouping val="stacked"/>
        <c:ser>
          <c:idx val="0"/>
          <c:order val="0"/>
          <c:tx>
            <c:strRef>
              <c:f>data!$I$22</c:f>
              <c:strCache>
                <c:ptCount val="1"/>
                <c:pt idx="0">
                  <c:v>Total</c:v>
                </c:pt>
              </c:strCache>
            </c:strRef>
          </c:tx>
          <c:cat>
            <c:multiLvlStrRef>
              <c:f>data!$H$23:$H$31</c:f>
              <c:multiLvlStrCache>
                <c:ptCount val="6"/>
                <c:lvl>
                  <c:pt idx="0">
                    <c:v>2011</c:v>
                  </c:pt>
                  <c:pt idx="1">
                    <c:v>2012</c:v>
                  </c:pt>
                  <c:pt idx="2">
                    <c:v>2013</c:v>
                  </c:pt>
                  <c:pt idx="3">
                    <c:v>2011</c:v>
                  </c:pt>
                  <c:pt idx="4">
                    <c:v>2012</c:v>
                  </c:pt>
                  <c:pt idx="5">
                    <c:v>2013</c:v>
                  </c:pt>
                </c:lvl>
                <c:lvl>
                  <c:pt idx="0">
                    <c:v>Kvinde</c:v>
                  </c:pt>
                  <c:pt idx="3">
                    <c:v>Mand</c:v>
                  </c:pt>
                </c:lvl>
              </c:multiLvlStrCache>
            </c:multiLvlStrRef>
          </c:cat>
          <c:val>
            <c:numRef>
              <c:f>data!$I$23:$I$31</c:f>
              <c:numCache>
                <c:formatCode>General</c:formatCode>
                <c:ptCount val="6"/>
                <c:pt idx="0">
                  <c:v>77.863128491620117</c:v>
                </c:pt>
                <c:pt idx="1">
                  <c:v>78.206563706563713</c:v>
                </c:pt>
                <c:pt idx="2">
                  <c:v>77.506032171580856</c:v>
                </c:pt>
                <c:pt idx="3">
                  <c:v>73.335433070866088</c:v>
                </c:pt>
                <c:pt idx="4">
                  <c:v>73.038461538460865</c:v>
                </c:pt>
                <c:pt idx="5">
                  <c:v>73.629496402877649</c:v>
                </c:pt>
              </c:numCache>
            </c:numRef>
          </c:val>
        </c:ser>
        <c:overlap val="100"/>
        <c:axId val="220717440"/>
        <c:axId val="220718976"/>
      </c:barChart>
      <c:catAx>
        <c:axId val="220717440"/>
        <c:scaling>
          <c:orientation val="minMax"/>
        </c:scaling>
        <c:axPos val="b"/>
        <c:tickLblPos val="nextTo"/>
        <c:txPr>
          <a:bodyPr/>
          <a:lstStyle/>
          <a:p>
            <a:pPr>
              <a:defRPr sz="800"/>
            </a:pPr>
            <a:endParaRPr lang="da-DK"/>
          </a:p>
        </c:txPr>
        <c:crossAx val="220718976"/>
        <c:crosses val="autoZero"/>
        <c:auto val="1"/>
        <c:lblAlgn val="ctr"/>
        <c:lblOffset val="100"/>
      </c:catAx>
      <c:valAx>
        <c:axId val="220718976"/>
        <c:scaling>
          <c:orientation val="minMax"/>
        </c:scaling>
        <c:axPos val="l"/>
        <c:majorGridlines/>
        <c:title>
          <c:tx>
            <c:rich>
              <a:bodyPr rot="0" vert="horz"/>
              <a:lstStyle/>
              <a:p>
                <a:pPr>
                  <a:defRPr/>
                </a:pPr>
                <a:r>
                  <a:rPr lang="da-DK" sz="700" b="0"/>
                  <a:t>Gns. alder</a:t>
                </a:r>
              </a:p>
            </c:rich>
          </c:tx>
          <c:layout>
            <c:manualLayout>
              <c:xMode val="edge"/>
              <c:yMode val="edge"/>
              <c:x val="2.1847690387016422E-2"/>
              <c:y val="2.1556500839693887E-2"/>
            </c:manualLayout>
          </c:layout>
        </c:title>
        <c:numFmt formatCode="General" sourceLinked="1"/>
        <c:tickLblPos val="nextTo"/>
        <c:txPr>
          <a:bodyPr/>
          <a:lstStyle/>
          <a:p>
            <a:pPr>
              <a:defRPr sz="800"/>
            </a:pPr>
            <a:endParaRPr lang="da-DK"/>
          </a:p>
        </c:txPr>
        <c:crossAx val="220717440"/>
        <c:crosses val="autoZero"/>
        <c:crossBetween val="between"/>
      </c:valAx>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da-DK"/>
  <c:chart>
    <c:autoTitleDeleted val="1"/>
    <c:plotArea>
      <c:layout>
        <c:manualLayout>
          <c:layoutTarget val="inner"/>
          <c:xMode val="edge"/>
          <c:yMode val="edge"/>
          <c:x val="0.19432174103237101"/>
          <c:y val="0.20880809016520144"/>
          <c:w val="0.72886522223372641"/>
          <c:h val="0.5426462868612012"/>
        </c:manualLayout>
      </c:layout>
      <c:barChart>
        <c:barDir val="col"/>
        <c:grouping val="clustered"/>
        <c:ser>
          <c:idx val="0"/>
          <c:order val="0"/>
          <c:tx>
            <c:strRef>
              <c:f>Indskrevne!$L$34</c:f>
              <c:strCache>
                <c:ptCount val="1"/>
                <c:pt idx="0">
                  <c:v>alder</c:v>
                </c:pt>
              </c:strCache>
            </c:strRef>
          </c:tx>
          <c:cat>
            <c:numRef>
              <c:f>Indskrevne!$K$35:$K$43</c:f>
              <c:numCache>
                <c:formatCode>0.0</c:formatCode>
                <c:ptCount val="9"/>
                <c:pt idx="0">
                  <c:v>3.9746835443037969</c:v>
                </c:pt>
                <c:pt idx="1">
                  <c:v>5.1976630963972736</c:v>
                </c:pt>
                <c:pt idx="2">
                  <c:v>20.038948393378774</c:v>
                </c:pt>
                <c:pt idx="3">
                  <c:v>34.351509250242962</c:v>
                </c:pt>
                <c:pt idx="4">
                  <c:v>52.390457643622</c:v>
                </c:pt>
                <c:pt idx="5">
                  <c:v>88.939629990263612</c:v>
                </c:pt>
                <c:pt idx="6">
                  <c:v>83.296007789678697</c:v>
                </c:pt>
                <c:pt idx="7">
                  <c:v>44.275559883155125</c:v>
                </c:pt>
                <c:pt idx="8">
                  <c:v>15.535540408958127</c:v>
                </c:pt>
              </c:numCache>
            </c:numRef>
          </c:cat>
          <c:val>
            <c:numRef>
              <c:f>Indskrevne!$L$35:$L$43</c:f>
              <c:numCache>
                <c:formatCode>General</c:formatCode>
                <c:ptCount val="9"/>
                <c:pt idx="0">
                  <c:v>57.5</c:v>
                </c:pt>
                <c:pt idx="1">
                  <c:v>62.5</c:v>
                </c:pt>
                <c:pt idx="2">
                  <c:v>67.5</c:v>
                </c:pt>
                <c:pt idx="3">
                  <c:v>72.5</c:v>
                </c:pt>
                <c:pt idx="4">
                  <c:v>77.5</c:v>
                </c:pt>
                <c:pt idx="5">
                  <c:v>82.5</c:v>
                </c:pt>
                <c:pt idx="6">
                  <c:v>87.5</c:v>
                </c:pt>
                <c:pt idx="7">
                  <c:v>92.5</c:v>
                </c:pt>
                <c:pt idx="8">
                  <c:v>97.5</c:v>
                </c:pt>
              </c:numCache>
            </c:numRef>
          </c:val>
        </c:ser>
        <c:axId val="264296704"/>
        <c:axId val="264302976"/>
      </c:barChart>
      <c:catAx>
        <c:axId val="264296704"/>
        <c:scaling>
          <c:orientation val="minMax"/>
        </c:scaling>
        <c:axPos val="b"/>
        <c:title>
          <c:tx>
            <c:rich>
              <a:bodyPr/>
              <a:lstStyle/>
              <a:p>
                <a:pPr>
                  <a:defRPr/>
                </a:pPr>
                <a:r>
                  <a:rPr lang="en-US"/>
                  <a:t>Antal borgere</a:t>
                </a:r>
              </a:p>
            </c:rich>
          </c:tx>
          <c:layout>
            <c:manualLayout>
              <c:xMode val="edge"/>
              <c:yMode val="edge"/>
              <c:x val="0.43329352580927388"/>
              <c:y val="0.86016185476815465"/>
            </c:manualLayout>
          </c:layout>
        </c:title>
        <c:numFmt formatCode="0.0" sourceLinked="1"/>
        <c:tickLblPos val="nextTo"/>
        <c:crossAx val="264302976"/>
        <c:crosses val="autoZero"/>
        <c:auto val="1"/>
        <c:lblAlgn val="ctr"/>
        <c:lblOffset val="100"/>
      </c:catAx>
      <c:valAx>
        <c:axId val="264302976"/>
        <c:scaling>
          <c:orientation val="minMax"/>
          <c:max val="100"/>
        </c:scaling>
        <c:axPos val="l"/>
        <c:majorGridlines/>
        <c:title>
          <c:tx>
            <c:rich>
              <a:bodyPr rot="0" vert="horz"/>
              <a:lstStyle/>
              <a:p>
                <a:pPr>
                  <a:defRPr/>
                </a:pPr>
                <a:r>
                  <a:rPr lang="da-DK"/>
                  <a:t>Alder</a:t>
                </a:r>
              </a:p>
            </c:rich>
          </c:tx>
          <c:layout>
            <c:manualLayout>
              <c:xMode val="edge"/>
              <c:yMode val="edge"/>
              <c:x val="0.13333333333333341"/>
              <c:y val="3.2896981627296616E-2"/>
            </c:manualLayout>
          </c:layout>
        </c:title>
        <c:numFmt formatCode="General" sourceLinked="1"/>
        <c:tickLblPos val="nextTo"/>
        <c:crossAx val="264296704"/>
        <c:crosses val="autoZero"/>
        <c:crossBetween val="between"/>
        <c:majorUnit val="10"/>
      </c:valAx>
    </c:plotArea>
    <c:plotVisOnly val="1"/>
  </c:chart>
  <c:spPr>
    <a:ln>
      <a:solidFill>
        <a:schemeClr val="tx1"/>
      </a:solidFill>
    </a:ln>
  </c:sp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0.12400917501892576"/>
          <c:y val="6.1272183692270256E-2"/>
          <c:w val="0.70188078821753486"/>
          <c:h val="0.62180911160939989"/>
        </c:manualLayout>
      </c:layout>
      <c:barChart>
        <c:barDir val="col"/>
        <c:grouping val="clustered"/>
        <c:ser>
          <c:idx val="2"/>
          <c:order val="1"/>
          <c:tx>
            <c:strRef>
              <c:f>dækningsgrad!$B$29</c:f>
              <c:strCache>
                <c:ptCount val="1"/>
                <c:pt idx="0">
                  <c:v>Extra behov for boliger, 18,75 pct.</c:v>
                </c:pt>
              </c:strCache>
            </c:strRef>
          </c:tx>
          <c:cat>
            <c:numRef>
              <c:f>dækningsgrad!$C$26:$M$26</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dækningsgrad!$C$29:$M$29</c:f>
              <c:numCache>
                <c:formatCode>#,##0</c:formatCode>
                <c:ptCount val="11"/>
                <c:pt idx="0">
                  <c:v>81.156995804979999</c:v>
                </c:pt>
                <c:pt idx="1">
                  <c:v>22.958496621809889</c:v>
                </c:pt>
                <c:pt idx="2">
                  <c:v>20.016967807430795</c:v>
                </c:pt>
                <c:pt idx="3">
                  <c:v>22.918219826649789</c:v>
                </c:pt>
                <c:pt idx="4">
                  <c:v>25.895259789191186</c:v>
                </c:pt>
                <c:pt idx="5">
                  <c:v>16.230499736149703</c:v>
                </c:pt>
                <c:pt idx="6">
                  <c:v>20.057349916663853</c:v>
                </c:pt>
                <c:pt idx="7">
                  <c:v>11.226419667131267</c:v>
                </c:pt>
                <c:pt idx="8">
                  <c:v>13.772060577466675</c:v>
                </c:pt>
                <c:pt idx="9">
                  <c:v>12.781168117595348</c:v>
                </c:pt>
                <c:pt idx="10">
                  <c:v>15.328757682116699</c:v>
                </c:pt>
              </c:numCache>
            </c:numRef>
          </c:val>
        </c:ser>
        <c:gapWidth val="70"/>
        <c:overlap val="89"/>
        <c:axId val="242081152"/>
        <c:axId val="242079616"/>
      </c:barChart>
      <c:lineChart>
        <c:grouping val="standard"/>
        <c:ser>
          <c:idx val="0"/>
          <c:order val="0"/>
          <c:tx>
            <c:strRef>
              <c:f>dækningsgrad!$B$27</c:f>
              <c:strCache>
                <c:ptCount val="1"/>
                <c:pt idx="0">
                  <c:v>Antal 80+ årige</c:v>
                </c:pt>
              </c:strCache>
            </c:strRef>
          </c:tx>
          <c:marker>
            <c:symbol val="none"/>
          </c:marker>
          <c:cat>
            <c:numRef>
              <c:f>dækningsgrad!$C$26:$M$26</c:f>
              <c:numCache>
                <c:formatCode>General</c:formatCode>
                <c:ptCount val="11"/>
                <c:pt idx="0">
                  <c:v>2015</c:v>
                </c:pt>
                <c:pt idx="1">
                  <c:v>2016</c:v>
                </c:pt>
                <c:pt idx="2">
                  <c:v>2017</c:v>
                </c:pt>
                <c:pt idx="3">
                  <c:v>2018</c:v>
                </c:pt>
                <c:pt idx="4">
                  <c:v>2019</c:v>
                </c:pt>
                <c:pt idx="5">
                  <c:v>2020</c:v>
                </c:pt>
                <c:pt idx="6">
                  <c:v>2021</c:v>
                </c:pt>
                <c:pt idx="7">
                  <c:v>2022</c:v>
                </c:pt>
                <c:pt idx="8">
                  <c:v>2023</c:v>
                </c:pt>
                <c:pt idx="9">
                  <c:v>2024</c:v>
                </c:pt>
                <c:pt idx="10">
                  <c:v>2025</c:v>
                </c:pt>
              </c:numCache>
            </c:numRef>
          </c:cat>
          <c:val>
            <c:numRef>
              <c:f>dækningsgrad!$C$27:$M$27</c:f>
              <c:numCache>
                <c:formatCode>#,##0</c:formatCode>
                <c:ptCount val="11"/>
                <c:pt idx="0">
                  <c:v>2107.5039776265621</c:v>
                </c:pt>
                <c:pt idx="1">
                  <c:v>2229.9492929428816</c:v>
                </c:pt>
                <c:pt idx="2">
                  <c:v>2336.7064545825124</c:v>
                </c:pt>
                <c:pt idx="3">
                  <c:v>2458.9369603246437</c:v>
                </c:pt>
                <c:pt idx="4">
                  <c:v>2597.0450125336779</c:v>
                </c:pt>
                <c:pt idx="5">
                  <c:v>2683.6076777931303</c:v>
                </c:pt>
                <c:pt idx="6">
                  <c:v>2790.5802106820051</c:v>
                </c:pt>
                <c:pt idx="7">
                  <c:v>2850.4544489067048</c:v>
                </c:pt>
                <c:pt idx="8">
                  <c:v>2923.9054386531952</c:v>
                </c:pt>
                <c:pt idx="9">
                  <c:v>2992.0716686137007</c:v>
                </c:pt>
                <c:pt idx="10">
                  <c:v>3073.8250429183272</c:v>
                </c:pt>
              </c:numCache>
            </c:numRef>
          </c:val>
        </c:ser>
        <c:marker val="1"/>
        <c:axId val="242072192"/>
        <c:axId val="242078080"/>
      </c:lineChart>
      <c:catAx>
        <c:axId val="242072192"/>
        <c:scaling>
          <c:orientation val="minMax"/>
        </c:scaling>
        <c:axPos val="b"/>
        <c:numFmt formatCode="General" sourceLinked="1"/>
        <c:tickLblPos val="nextTo"/>
        <c:txPr>
          <a:bodyPr rot="-5400000" vert="horz"/>
          <a:lstStyle/>
          <a:p>
            <a:pPr>
              <a:defRPr sz="800"/>
            </a:pPr>
            <a:endParaRPr lang="da-DK"/>
          </a:p>
        </c:txPr>
        <c:crossAx val="242078080"/>
        <c:crosses val="autoZero"/>
        <c:auto val="1"/>
        <c:lblAlgn val="ctr"/>
        <c:lblOffset val="100"/>
        <c:tickLblSkip val="1"/>
      </c:catAx>
      <c:valAx>
        <c:axId val="242078080"/>
        <c:scaling>
          <c:orientation val="minMax"/>
        </c:scaling>
        <c:axPos val="l"/>
        <c:majorGridlines/>
        <c:numFmt formatCode="#,##0" sourceLinked="1"/>
        <c:tickLblPos val="nextTo"/>
        <c:txPr>
          <a:bodyPr/>
          <a:lstStyle/>
          <a:p>
            <a:pPr>
              <a:defRPr sz="800"/>
            </a:pPr>
            <a:endParaRPr lang="da-DK"/>
          </a:p>
        </c:txPr>
        <c:crossAx val="242072192"/>
        <c:crosses val="autoZero"/>
        <c:crossBetween val="midCat"/>
      </c:valAx>
      <c:valAx>
        <c:axId val="242079616"/>
        <c:scaling>
          <c:orientation val="minMax"/>
        </c:scaling>
        <c:axPos val="r"/>
        <c:numFmt formatCode="#,##0" sourceLinked="1"/>
        <c:tickLblPos val="nextTo"/>
        <c:txPr>
          <a:bodyPr/>
          <a:lstStyle/>
          <a:p>
            <a:pPr>
              <a:defRPr sz="800"/>
            </a:pPr>
            <a:endParaRPr lang="da-DK"/>
          </a:p>
        </c:txPr>
        <c:crossAx val="242081152"/>
        <c:crosses val="max"/>
        <c:crossBetween val="between"/>
      </c:valAx>
      <c:catAx>
        <c:axId val="242081152"/>
        <c:scaling>
          <c:orientation val="minMax"/>
        </c:scaling>
        <c:delete val="1"/>
        <c:axPos val="b"/>
        <c:numFmt formatCode="General" sourceLinked="1"/>
        <c:tickLblPos val="none"/>
        <c:crossAx val="242079616"/>
        <c:crosses val="autoZero"/>
        <c:auto val="1"/>
        <c:lblAlgn val="ctr"/>
        <c:lblOffset val="100"/>
      </c:catAx>
    </c:plotArea>
    <c:legend>
      <c:legendPos val="b"/>
      <c:layout>
        <c:manualLayout>
          <c:xMode val="edge"/>
          <c:yMode val="edge"/>
          <c:x val="6.6008912098422926E-2"/>
          <c:y val="0.84638716518051138"/>
          <c:w val="0.9169171211111532"/>
          <c:h val="0.12050025203803225"/>
        </c:manualLayout>
      </c:layout>
      <c:txPr>
        <a:bodyPr/>
        <a:lstStyle/>
        <a:p>
          <a:pPr>
            <a:defRPr sz="800"/>
          </a:pPr>
          <a:endParaRPr lang="da-DK"/>
        </a:p>
      </c:txPr>
    </c:legend>
    <c:plotVisOnly val="1"/>
    <c:dispBlanksAs val="gap"/>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0.12453509911658669"/>
          <c:y val="5.1400554097404488E-2"/>
          <c:w val="0.85160804203649998"/>
          <c:h val="0.7082604257801105"/>
        </c:manualLayout>
      </c:layout>
      <c:lineChart>
        <c:grouping val="standard"/>
        <c:ser>
          <c:idx val="0"/>
          <c:order val="0"/>
          <c:tx>
            <c:strRef>
              <c:f>STAT!$M$16</c:f>
              <c:strCache>
                <c:ptCount val="1"/>
                <c:pt idx="0">
                  <c:v>Ballerup</c:v>
                </c:pt>
              </c:strCache>
            </c:strRef>
          </c:tx>
          <c:marker>
            <c:symbol val="none"/>
          </c:marker>
          <c:cat>
            <c:strRef>
              <c:f>STAT!$N$15:$V$15</c:f>
              <c:strCache>
                <c:ptCount val="9"/>
                <c:pt idx="0">
                  <c:v>2015</c:v>
                </c:pt>
                <c:pt idx="1">
                  <c:v>2016</c:v>
                </c:pt>
                <c:pt idx="2">
                  <c:v>2017</c:v>
                </c:pt>
                <c:pt idx="3">
                  <c:v>2018</c:v>
                </c:pt>
                <c:pt idx="4">
                  <c:v>2019</c:v>
                </c:pt>
                <c:pt idx="5">
                  <c:v>2020</c:v>
                </c:pt>
                <c:pt idx="6">
                  <c:v>2021</c:v>
                </c:pt>
                <c:pt idx="7">
                  <c:v>2022</c:v>
                </c:pt>
                <c:pt idx="8">
                  <c:v>2023</c:v>
                </c:pt>
              </c:strCache>
            </c:strRef>
          </c:cat>
          <c:val>
            <c:numRef>
              <c:f>STAT!$N$16:$V$16</c:f>
              <c:numCache>
                <c:formatCode>#,##0.00</c:formatCode>
                <c:ptCount val="9"/>
                <c:pt idx="0">
                  <c:v>1.2616822429906538</c:v>
                </c:pt>
                <c:pt idx="1">
                  <c:v>1.1769834350479511</c:v>
                </c:pt>
                <c:pt idx="2">
                  <c:v>1.1038430089942759</c:v>
                </c:pt>
                <c:pt idx="3">
                  <c:v>1.0352760736196318</c:v>
                </c:pt>
                <c:pt idx="4">
                  <c:v>0.96878363832077885</c:v>
                </c:pt>
                <c:pt idx="5">
                  <c:v>0.92656142759094029</c:v>
                </c:pt>
                <c:pt idx="6">
                  <c:v>0.87804878048780743</c:v>
                </c:pt>
                <c:pt idx="7">
                  <c:v>0.84719171634766477</c:v>
                </c:pt>
                <c:pt idx="8">
                  <c:v>0.81251880830574752</c:v>
                </c:pt>
              </c:numCache>
            </c:numRef>
          </c:val>
        </c:ser>
        <c:ser>
          <c:idx val="1"/>
          <c:order val="1"/>
          <c:tx>
            <c:strRef>
              <c:f>STAT!$M$17</c:f>
              <c:strCache>
                <c:ptCount val="1"/>
                <c:pt idx="0">
                  <c:v>Gladsaxe</c:v>
                </c:pt>
              </c:strCache>
            </c:strRef>
          </c:tx>
          <c:marker>
            <c:symbol val="none"/>
          </c:marker>
          <c:cat>
            <c:strRef>
              <c:f>STAT!$N$15:$V$15</c:f>
              <c:strCache>
                <c:ptCount val="9"/>
                <c:pt idx="0">
                  <c:v>2015</c:v>
                </c:pt>
                <c:pt idx="1">
                  <c:v>2016</c:v>
                </c:pt>
                <c:pt idx="2">
                  <c:v>2017</c:v>
                </c:pt>
                <c:pt idx="3">
                  <c:v>2018</c:v>
                </c:pt>
                <c:pt idx="4">
                  <c:v>2019</c:v>
                </c:pt>
                <c:pt idx="5">
                  <c:v>2020</c:v>
                </c:pt>
                <c:pt idx="6">
                  <c:v>2021</c:v>
                </c:pt>
                <c:pt idx="7">
                  <c:v>2022</c:v>
                </c:pt>
                <c:pt idx="8">
                  <c:v>2023</c:v>
                </c:pt>
              </c:strCache>
            </c:strRef>
          </c:cat>
          <c:val>
            <c:numRef>
              <c:f>STAT!$N$17:$V$17</c:f>
              <c:numCache>
                <c:formatCode>#,##0.00</c:formatCode>
                <c:ptCount val="9"/>
                <c:pt idx="0">
                  <c:v>2.4737167594310452</c:v>
                </c:pt>
                <c:pt idx="1">
                  <c:v>2.4929884699283167</c:v>
                </c:pt>
                <c:pt idx="2">
                  <c:v>2.4767801857585137</c:v>
                </c:pt>
                <c:pt idx="3">
                  <c:v>2.4660912453760888</c:v>
                </c:pt>
                <c:pt idx="4">
                  <c:v>2.4698981167026837</c:v>
                </c:pt>
                <c:pt idx="5">
                  <c:v>2.4487297214570072</c:v>
                </c:pt>
                <c:pt idx="6">
                  <c:v>2.4301336573511612</c:v>
                </c:pt>
                <c:pt idx="7">
                  <c:v>2.4038461538461537</c:v>
                </c:pt>
                <c:pt idx="8">
                  <c:v>2.3371311714870107</c:v>
                </c:pt>
              </c:numCache>
            </c:numRef>
          </c:val>
        </c:ser>
        <c:ser>
          <c:idx val="2"/>
          <c:order val="2"/>
          <c:tx>
            <c:strRef>
              <c:f>STAT!$M$18</c:f>
              <c:strCache>
                <c:ptCount val="1"/>
                <c:pt idx="0">
                  <c:v>Herlev</c:v>
                </c:pt>
              </c:strCache>
            </c:strRef>
          </c:tx>
          <c:marker>
            <c:symbol val="none"/>
          </c:marker>
          <c:cat>
            <c:strRef>
              <c:f>STAT!$N$15:$V$15</c:f>
              <c:strCache>
                <c:ptCount val="9"/>
                <c:pt idx="0">
                  <c:v>2015</c:v>
                </c:pt>
                <c:pt idx="1">
                  <c:v>2016</c:v>
                </c:pt>
                <c:pt idx="2">
                  <c:v>2017</c:v>
                </c:pt>
                <c:pt idx="3">
                  <c:v>2018</c:v>
                </c:pt>
                <c:pt idx="4">
                  <c:v>2019</c:v>
                </c:pt>
                <c:pt idx="5">
                  <c:v>2020</c:v>
                </c:pt>
                <c:pt idx="6">
                  <c:v>2021</c:v>
                </c:pt>
                <c:pt idx="7">
                  <c:v>2022</c:v>
                </c:pt>
                <c:pt idx="8">
                  <c:v>2023</c:v>
                </c:pt>
              </c:strCache>
            </c:strRef>
          </c:cat>
          <c:val>
            <c:numRef>
              <c:f>STAT!$N$18:$V$18</c:f>
              <c:numCache>
                <c:formatCode>#,##0.00</c:formatCode>
                <c:ptCount val="9"/>
                <c:pt idx="0">
                  <c:v>1.9760056457304165</c:v>
                </c:pt>
                <c:pt idx="1">
                  <c:v>1.9204389574759946</c:v>
                </c:pt>
                <c:pt idx="2">
                  <c:v>1.8579960185799513</c:v>
                </c:pt>
                <c:pt idx="3">
                  <c:v>1.80296200901481</c:v>
                </c:pt>
                <c:pt idx="4">
                  <c:v>1.7699115044247788</c:v>
                </c:pt>
                <c:pt idx="5">
                  <c:v>1.7177914110429358</c:v>
                </c:pt>
                <c:pt idx="6">
                  <c:v>1.6706443914081146</c:v>
                </c:pt>
                <c:pt idx="7">
                  <c:v>1.6345592527729118</c:v>
                </c:pt>
                <c:pt idx="8">
                  <c:v>1.5598885793871866</c:v>
                </c:pt>
              </c:numCache>
            </c:numRef>
          </c:val>
        </c:ser>
        <c:ser>
          <c:idx val="3"/>
          <c:order val="3"/>
          <c:tx>
            <c:strRef>
              <c:f>STAT!$M$19</c:f>
              <c:strCache>
                <c:ptCount val="1"/>
                <c:pt idx="0">
                  <c:v>Egedal</c:v>
                </c:pt>
              </c:strCache>
            </c:strRef>
          </c:tx>
          <c:marker>
            <c:symbol val="none"/>
          </c:marker>
          <c:cat>
            <c:strRef>
              <c:f>STAT!$N$15:$V$15</c:f>
              <c:strCache>
                <c:ptCount val="9"/>
                <c:pt idx="0">
                  <c:v>2015</c:v>
                </c:pt>
                <c:pt idx="1">
                  <c:v>2016</c:v>
                </c:pt>
                <c:pt idx="2">
                  <c:v>2017</c:v>
                </c:pt>
                <c:pt idx="3">
                  <c:v>2018</c:v>
                </c:pt>
                <c:pt idx="4">
                  <c:v>2019</c:v>
                </c:pt>
                <c:pt idx="5">
                  <c:v>2020</c:v>
                </c:pt>
                <c:pt idx="6">
                  <c:v>2021</c:v>
                </c:pt>
                <c:pt idx="7">
                  <c:v>2022</c:v>
                </c:pt>
                <c:pt idx="8">
                  <c:v>2023</c:v>
                </c:pt>
              </c:strCache>
            </c:strRef>
          </c:cat>
          <c:val>
            <c:numRef>
              <c:f>STAT!$N$19:$V$19</c:f>
              <c:numCache>
                <c:formatCode>#,##0.00</c:formatCode>
                <c:ptCount val="9"/>
                <c:pt idx="0">
                  <c:v>1.9212295869356391</c:v>
                </c:pt>
                <c:pt idx="1">
                  <c:v>1.7921146953405016</c:v>
                </c:pt>
                <c:pt idx="2">
                  <c:v>1.6129032258064515</c:v>
                </c:pt>
                <c:pt idx="3">
                  <c:v>1.4367816091954018</c:v>
                </c:pt>
                <c:pt idx="4">
                  <c:v>1.3351134846461949</c:v>
                </c:pt>
                <c:pt idx="5">
                  <c:v>1.211387038158692</c:v>
                </c:pt>
                <c:pt idx="6">
                  <c:v>1.111111111111112</c:v>
                </c:pt>
                <c:pt idx="7">
                  <c:v>1.026167265264238</c:v>
                </c:pt>
                <c:pt idx="8">
                  <c:v>0.94339622641509713</c:v>
                </c:pt>
              </c:numCache>
            </c:numRef>
          </c:val>
        </c:ser>
        <c:ser>
          <c:idx val="4"/>
          <c:order val="4"/>
          <c:tx>
            <c:strRef>
              <c:f>STAT!$M$20</c:f>
              <c:strCache>
                <c:ptCount val="1"/>
                <c:pt idx="0">
                  <c:v>Furesø</c:v>
                </c:pt>
              </c:strCache>
            </c:strRef>
          </c:tx>
          <c:marker>
            <c:symbol val="none"/>
          </c:marker>
          <c:cat>
            <c:strRef>
              <c:f>STAT!$N$15:$V$15</c:f>
              <c:strCache>
                <c:ptCount val="9"/>
                <c:pt idx="0">
                  <c:v>2015</c:v>
                </c:pt>
                <c:pt idx="1">
                  <c:v>2016</c:v>
                </c:pt>
                <c:pt idx="2">
                  <c:v>2017</c:v>
                </c:pt>
                <c:pt idx="3">
                  <c:v>2018</c:v>
                </c:pt>
                <c:pt idx="4">
                  <c:v>2019</c:v>
                </c:pt>
                <c:pt idx="5">
                  <c:v>2020</c:v>
                </c:pt>
                <c:pt idx="6">
                  <c:v>2021</c:v>
                </c:pt>
                <c:pt idx="7">
                  <c:v>2022</c:v>
                </c:pt>
                <c:pt idx="8">
                  <c:v>2023</c:v>
                </c:pt>
              </c:strCache>
            </c:strRef>
          </c:cat>
          <c:val>
            <c:numRef>
              <c:f>STAT!$N$20:$V$20</c:f>
              <c:numCache>
                <c:formatCode>#,##0.00</c:formatCode>
                <c:ptCount val="9"/>
                <c:pt idx="0">
                  <c:v>1.5839493136219638</c:v>
                </c:pt>
                <c:pt idx="1">
                  <c:v>1.518987341772152</c:v>
                </c:pt>
                <c:pt idx="2">
                  <c:v>1.4556040756914068</c:v>
                </c:pt>
                <c:pt idx="3">
                  <c:v>1.3908205841446455</c:v>
                </c:pt>
                <c:pt idx="4">
                  <c:v>1.3422818791946309</c:v>
                </c:pt>
                <c:pt idx="5">
                  <c:v>1.2776831345826241</c:v>
                </c:pt>
                <c:pt idx="6">
                  <c:v>1.2371134020618557</c:v>
                </c:pt>
                <c:pt idx="7">
                  <c:v>1.2121212121212073</c:v>
                </c:pt>
                <c:pt idx="8">
                  <c:v>1.16279069767441</c:v>
                </c:pt>
              </c:numCache>
            </c:numRef>
          </c:val>
        </c:ser>
        <c:ser>
          <c:idx val="5"/>
          <c:order val="5"/>
          <c:tx>
            <c:strRef>
              <c:f>STAT!$M$21</c:f>
              <c:strCache>
                <c:ptCount val="1"/>
                <c:pt idx="0">
                  <c:v>Gennemsnit</c:v>
                </c:pt>
              </c:strCache>
            </c:strRef>
          </c:tx>
          <c:marker>
            <c:symbol val="none"/>
          </c:marker>
          <c:val>
            <c:numRef>
              <c:f>STAT!$N$21:$V$21</c:f>
              <c:numCache>
                <c:formatCode>0.0</c:formatCode>
                <c:ptCount val="9"/>
                <c:pt idx="0">
                  <c:v>1.9021180341353163</c:v>
                </c:pt>
                <c:pt idx="1">
                  <c:v>1.8404297652208517</c:v>
                </c:pt>
                <c:pt idx="2">
                  <c:v>1.7645936665394832</c:v>
                </c:pt>
                <c:pt idx="3">
                  <c:v>1.688880774146436</c:v>
                </c:pt>
                <c:pt idx="4">
                  <c:v>1.6312494489022131</c:v>
                </c:pt>
                <c:pt idx="5">
                  <c:v>1.5664690939881456</c:v>
                </c:pt>
                <c:pt idx="6">
                  <c:v>1.5079882621454135</c:v>
                </c:pt>
                <c:pt idx="7">
                  <c:v>1.4622194119506797</c:v>
                </c:pt>
                <c:pt idx="8">
                  <c:v>1.3971754399214613</c:v>
                </c:pt>
              </c:numCache>
            </c:numRef>
          </c:val>
        </c:ser>
        <c:marker val="1"/>
        <c:axId val="267041408"/>
        <c:axId val="267051776"/>
      </c:lineChart>
      <c:catAx>
        <c:axId val="267041408"/>
        <c:scaling>
          <c:orientation val="minMax"/>
        </c:scaling>
        <c:axPos val="b"/>
        <c:title>
          <c:tx>
            <c:rich>
              <a:bodyPr/>
              <a:lstStyle/>
              <a:p>
                <a:pPr>
                  <a:defRPr/>
                </a:pPr>
                <a:r>
                  <a:rPr lang="da-DK"/>
                  <a:t>År</a:t>
                </a:r>
              </a:p>
            </c:rich>
          </c:tx>
          <c:layout>
            <c:manualLayout>
              <c:xMode val="edge"/>
              <c:yMode val="edge"/>
              <c:x val="0.52291020282504452"/>
              <c:y val="0.83596128608923881"/>
            </c:manualLayout>
          </c:layout>
        </c:title>
        <c:tickLblPos val="nextTo"/>
        <c:crossAx val="267051776"/>
        <c:crosses val="autoZero"/>
        <c:auto val="1"/>
        <c:lblAlgn val="ctr"/>
        <c:lblOffset val="100"/>
      </c:catAx>
      <c:valAx>
        <c:axId val="267051776"/>
        <c:scaling>
          <c:orientation val="minMax"/>
          <c:max val="2.5"/>
          <c:min val="0.5"/>
        </c:scaling>
        <c:axPos val="l"/>
        <c:majorGridlines/>
        <c:title>
          <c:tx>
            <c:rich>
              <a:bodyPr rot="-5400000" vert="horz"/>
              <a:lstStyle/>
              <a:p>
                <a:pPr>
                  <a:defRPr/>
                </a:pPr>
                <a:r>
                  <a:rPr lang="da-DK"/>
                  <a:t>Procent</a:t>
                </a:r>
              </a:p>
            </c:rich>
          </c:tx>
          <c:layout/>
        </c:title>
        <c:numFmt formatCode="#,##0.00" sourceLinked="1"/>
        <c:tickLblPos val="nextTo"/>
        <c:txPr>
          <a:bodyPr/>
          <a:lstStyle/>
          <a:p>
            <a:pPr>
              <a:defRPr sz="800"/>
            </a:pPr>
            <a:endParaRPr lang="da-DK"/>
          </a:p>
        </c:txPr>
        <c:crossAx val="267041408"/>
        <c:crosses val="autoZero"/>
        <c:crossBetween val="between"/>
        <c:majorUnit val="0.25"/>
      </c:valAx>
      <c:spPr>
        <a:ln>
          <a:solidFill>
            <a:sysClr val="windowText" lastClr="000000"/>
          </a:solidFill>
        </a:ln>
      </c:spPr>
    </c:plotArea>
    <c:legend>
      <c:legendPos val="b"/>
      <c:layout/>
    </c:legend>
    <c:plotVisOnly val="1"/>
  </c:chart>
  <c:txPr>
    <a:bodyPr/>
    <a:lstStyle/>
    <a:p>
      <a:pPr>
        <a:defRPr sz="800"/>
      </a:pPr>
      <a:endParaRPr lang="da-DK"/>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0.13711632622939249"/>
          <c:y val="9.4017094017094044E-2"/>
          <c:w val="0.81805889789449016"/>
          <c:h val="0.5814469345178005"/>
        </c:manualLayout>
      </c:layout>
      <c:barChart>
        <c:barDir val="col"/>
        <c:grouping val="clustered"/>
        <c:ser>
          <c:idx val="0"/>
          <c:order val="0"/>
          <c:cat>
            <c:strRef>
              <c:f>alder!$F$175:$F$179</c:f>
              <c:strCache>
                <c:ptCount val="5"/>
                <c:pt idx="0">
                  <c:v>&lt;60</c:v>
                </c:pt>
                <c:pt idx="1">
                  <c:v>60-69</c:v>
                </c:pt>
                <c:pt idx="2">
                  <c:v>70-79</c:v>
                </c:pt>
                <c:pt idx="3">
                  <c:v>80-89</c:v>
                </c:pt>
                <c:pt idx="4">
                  <c:v>&gt;90</c:v>
                </c:pt>
              </c:strCache>
            </c:strRef>
          </c:cat>
          <c:val>
            <c:numRef>
              <c:f>alder!$G$175:$G$179</c:f>
              <c:numCache>
                <c:formatCode>General</c:formatCode>
                <c:ptCount val="5"/>
                <c:pt idx="0">
                  <c:v>14</c:v>
                </c:pt>
                <c:pt idx="1">
                  <c:v>14</c:v>
                </c:pt>
                <c:pt idx="2">
                  <c:v>39</c:v>
                </c:pt>
                <c:pt idx="3">
                  <c:v>47</c:v>
                </c:pt>
                <c:pt idx="4">
                  <c:v>14</c:v>
                </c:pt>
              </c:numCache>
            </c:numRef>
          </c:val>
        </c:ser>
        <c:axId val="242084480"/>
        <c:axId val="266907008"/>
      </c:barChart>
      <c:catAx>
        <c:axId val="242084480"/>
        <c:scaling>
          <c:orientation val="minMax"/>
        </c:scaling>
        <c:axPos val="b"/>
        <c:title>
          <c:tx>
            <c:rich>
              <a:bodyPr/>
              <a:lstStyle/>
              <a:p>
                <a:pPr>
                  <a:defRPr sz="800"/>
                </a:pPr>
                <a:r>
                  <a:rPr lang="da-DK" sz="800"/>
                  <a:t>Alder</a:t>
                </a:r>
              </a:p>
            </c:rich>
          </c:tx>
          <c:layout/>
        </c:title>
        <c:tickLblPos val="nextTo"/>
        <c:txPr>
          <a:bodyPr/>
          <a:lstStyle/>
          <a:p>
            <a:pPr>
              <a:defRPr sz="800"/>
            </a:pPr>
            <a:endParaRPr lang="da-DK"/>
          </a:p>
        </c:txPr>
        <c:crossAx val="266907008"/>
        <c:crosses val="autoZero"/>
        <c:auto val="1"/>
        <c:lblAlgn val="ctr"/>
        <c:lblOffset val="100"/>
      </c:catAx>
      <c:valAx>
        <c:axId val="266907008"/>
        <c:scaling>
          <c:orientation val="minMax"/>
        </c:scaling>
        <c:axPos val="l"/>
        <c:majorGridlines/>
        <c:title>
          <c:tx>
            <c:rich>
              <a:bodyPr rot="-5400000" vert="horz"/>
              <a:lstStyle/>
              <a:p>
                <a:pPr>
                  <a:defRPr sz="800"/>
                </a:pPr>
                <a:r>
                  <a:rPr lang="da-DK" sz="800"/>
                  <a:t>Antal</a:t>
                </a:r>
                <a:r>
                  <a:rPr lang="da-DK" sz="800" baseline="0"/>
                  <a:t> borgere</a:t>
                </a:r>
                <a:endParaRPr lang="da-DK" sz="800"/>
              </a:p>
            </c:rich>
          </c:tx>
          <c:layout/>
        </c:title>
        <c:numFmt formatCode="General" sourceLinked="1"/>
        <c:tickLblPos val="nextTo"/>
        <c:txPr>
          <a:bodyPr/>
          <a:lstStyle/>
          <a:p>
            <a:pPr>
              <a:defRPr sz="800"/>
            </a:pPr>
            <a:endParaRPr lang="da-DK"/>
          </a:p>
        </c:txPr>
        <c:crossAx val="242084480"/>
        <c:crosses val="autoZero"/>
        <c:crossBetween val="between"/>
      </c:valAx>
    </c:plotArea>
    <c:plotVisOnly val="1"/>
  </c:chart>
  <c:spPr>
    <a:ln>
      <a:solidFill>
        <a:schemeClr val="tx1"/>
      </a:solidFill>
    </a:ln>
  </c:sp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9.4101841795638255E-2"/>
          <c:y val="5.0925925925925923E-2"/>
          <c:w val="0.82441171146710113"/>
          <c:h val="0.71309857101195651"/>
        </c:manualLayout>
      </c:layout>
      <c:barChart>
        <c:barDir val="col"/>
        <c:grouping val="clustered"/>
        <c:ser>
          <c:idx val="0"/>
          <c:order val="0"/>
          <c:tx>
            <c:strRef>
              <c:f>'graf-hyp 2014'!$B$1</c:f>
              <c:strCache>
                <c:ptCount val="1"/>
                <c:pt idx="0">
                  <c:v>Antal borgere 2014</c:v>
                </c:pt>
              </c:strCache>
            </c:strRef>
          </c:tx>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2014'!$B$2:$B$31</c:f>
              <c:numCache>
                <c:formatCode>General</c:formatCode>
                <c:ptCount val="30"/>
                <c:pt idx="0">
                  <c:v>23</c:v>
                </c:pt>
                <c:pt idx="1">
                  <c:v>22</c:v>
                </c:pt>
                <c:pt idx="2">
                  <c:v>26</c:v>
                </c:pt>
                <c:pt idx="3">
                  <c:v>13</c:v>
                </c:pt>
                <c:pt idx="4">
                  <c:v>16</c:v>
                </c:pt>
                <c:pt idx="5">
                  <c:v>15</c:v>
                </c:pt>
                <c:pt idx="6">
                  <c:v>23</c:v>
                </c:pt>
                <c:pt idx="7">
                  <c:v>5</c:v>
                </c:pt>
                <c:pt idx="8">
                  <c:v>9</c:v>
                </c:pt>
                <c:pt idx="9">
                  <c:v>17</c:v>
                </c:pt>
                <c:pt idx="10">
                  <c:v>12</c:v>
                </c:pt>
                <c:pt idx="11">
                  <c:v>8</c:v>
                </c:pt>
                <c:pt idx="12">
                  <c:v>15</c:v>
                </c:pt>
                <c:pt idx="13">
                  <c:v>18</c:v>
                </c:pt>
                <c:pt idx="14">
                  <c:v>6</c:v>
                </c:pt>
                <c:pt idx="15">
                  <c:v>6</c:v>
                </c:pt>
                <c:pt idx="16">
                  <c:v>5</c:v>
                </c:pt>
                <c:pt idx="17">
                  <c:v>4</c:v>
                </c:pt>
                <c:pt idx="18">
                  <c:v>1</c:v>
                </c:pt>
                <c:pt idx="19">
                  <c:v>3</c:v>
                </c:pt>
                <c:pt idx="20">
                  <c:v>7</c:v>
                </c:pt>
                <c:pt idx="21">
                  <c:v>0</c:v>
                </c:pt>
                <c:pt idx="22">
                  <c:v>2</c:v>
                </c:pt>
                <c:pt idx="23">
                  <c:v>0</c:v>
                </c:pt>
                <c:pt idx="24">
                  <c:v>1</c:v>
                </c:pt>
                <c:pt idx="25">
                  <c:v>1</c:v>
                </c:pt>
                <c:pt idx="26">
                  <c:v>1</c:v>
                </c:pt>
                <c:pt idx="27">
                  <c:v>3</c:v>
                </c:pt>
                <c:pt idx="28">
                  <c:v>1</c:v>
                </c:pt>
                <c:pt idx="29">
                  <c:v>10</c:v>
                </c:pt>
              </c:numCache>
            </c:numRef>
          </c:val>
        </c:ser>
        <c:ser>
          <c:idx val="1"/>
          <c:order val="1"/>
          <c:tx>
            <c:strRef>
              <c:f>'graf-hyp 2014'!$C$1</c:f>
              <c:strCache>
                <c:ptCount val="1"/>
                <c:pt idx="0">
                  <c:v>Antal borgere 2013</c:v>
                </c:pt>
              </c:strCache>
            </c:strRef>
          </c:tx>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2014'!$C$2:$C$31</c:f>
              <c:numCache>
                <c:formatCode>General</c:formatCode>
                <c:ptCount val="30"/>
                <c:pt idx="0">
                  <c:v>19</c:v>
                </c:pt>
                <c:pt idx="1">
                  <c:v>17</c:v>
                </c:pt>
                <c:pt idx="2">
                  <c:v>19</c:v>
                </c:pt>
                <c:pt idx="3">
                  <c:v>9</c:v>
                </c:pt>
                <c:pt idx="4">
                  <c:v>15</c:v>
                </c:pt>
                <c:pt idx="5">
                  <c:v>11</c:v>
                </c:pt>
                <c:pt idx="6">
                  <c:v>13</c:v>
                </c:pt>
                <c:pt idx="7">
                  <c:v>12</c:v>
                </c:pt>
                <c:pt idx="8">
                  <c:v>10</c:v>
                </c:pt>
                <c:pt idx="9">
                  <c:v>8</c:v>
                </c:pt>
                <c:pt idx="10">
                  <c:v>6</c:v>
                </c:pt>
                <c:pt idx="11">
                  <c:v>6</c:v>
                </c:pt>
                <c:pt idx="12">
                  <c:v>6</c:v>
                </c:pt>
                <c:pt idx="13">
                  <c:v>12</c:v>
                </c:pt>
                <c:pt idx="14">
                  <c:v>8</c:v>
                </c:pt>
                <c:pt idx="15">
                  <c:v>6</c:v>
                </c:pt>
                <c:pt idx="16">
                  <c:v>1</c:v>
                </c:pt>
                <c:pt idx="17">
                  <c:v>2</c:v>
                </c:pt>
                <c:pt idx="18">
                  <c:v>1</c:v>
                </c:pt>
                <c:pt idx="19">
                  <c:v>3</c:v>
                </c:pt>
                <c:pt idx="20">
                  <c:v>5</c:v>
                </c:pt>
                <c:pt idx="21">
                  <c:v>0</c:v>
                </c:pt>
                <c:pt idx="22">
                  <c:v>2</c:v>
                </c:pt>
                <c:pt idx="23">
                  <c:v>2</c:v>
                </c:pt>
                <c:pt idx="24">
                  <c:v>0</c:v>
                </c:pt>
                <c:pt idx="25">
                  <c:v>2</c:v>
                </c:pt>
                <c:pt idx="26">
                  <c:v>1</c:v>
                </c:pt>
                <c:pt idx="27">
                  <c:v>4</c:v>
                </c:pt>
                <c:pt idx="28">
                  <c:v>1</c:v>
                </c:pt>
                <c:pt idx="29">
                  <c:v>6</c:v>
                </c:pt>
              </c:numCache>
            </c:numRef>
          </c:val>
        </c:ser>
        <c:axId val="267358208"/>
        <c:axId val="267360128"/>
      </c:barChart>
      <c:lineChart>
        <c:grouping val="standard"/>
        <c:ser>
          <c:idx val="2"/>
          <c:order val="2"/>
          <c:tx>
            <c:strRef>
              <c:f>'graf-hyp 2014'!$D$1</c:f>
              <c:strCache>
                <c:ptCount val="1"/>
                <c:pt idx="0">
                  <c:v>Udgift 2014</c:v>
                </c:pt>
              </c:strCache>
            </c:strRef>
          </c:tx>
          <c:marker>
            <c:symbol val="none"/>
          </c:marker>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2014'!$D$2:$D$31</c:f>
              <c:numCache>
                <c:formatCode>0.0</c:formatCode>
                <c:ptCount val="30"/>
                <c:pt idx="0">
                  <c:v>44.114000000000004</c:v>
                </c:pt>
                <c:pt idx="1">
                  <c:v>128.506</c:v>
                </c:pt>
                <c:pt idx="2">
                  <c:v>278.11</c:v>
                </c:pt>
                <c:pt idx="3">
                  <c:v>377.846</c:v>
                </c:pt>
                <c:pt idx="4">
                  <c:v>531.28600000000051</c:v>
                </c:pt>
                <c:pt idx="5">
                  <c:v>703.90600000000006</c:v>
                </c:pt>
                <c:pt idx="6">
                  <c:v>1012.7040000000005</c:v>
                </c:pt>
                <c:pt idx="7">
                  <c:v>1089.424</c:v>
                </c:pt>
                <c:pt idx="8">
                  <c:v>1244.7819999999999</c:v>
                </c:pt>
                <c:pt idx="9">
                  <c:v>1570.8419999999999</c:v>
                </c:pt>
                <c:pt idx="10">
                  <c:v>1824.018</c:v>
                </c:pt>
                <c:pt idx="11">
                  <c:v>2008.1459999999997</c:v>
                </c:pt>
                <c:pt idx="12">
                  <c:v>2382.1559999999999</c:v>
                </c:pt>
                <c:pt idx="13">
                  <c:v>2865.4920000000002</c:v>
                </c:pt>
                <c:pt idx="14">
                  <c:v>3038.1120000000001</c:v>
                </c:pt>
                <c:pt idx="15">
                  <c:v>3222.24</c:v>
                </c:pt>
                <c:pt idx="16">
                  <c:v>3385.2700000000004</c:v>
                </c:pt>
                <c:pt idx="17">
                  <c:v>3523.3660000000004</c:v>
                </c:pt>
                <c:pt idx="18">
                  <c:v>3559.8080000000004</c:v>
                </c:pt>
                <c:pt idx="19">
                  <c:v>3674.8880000000004</c:v>
                </c:pt>
                <c:pt idx="20">
                  <c:v>3956.8340000000012</c:v>
                </c:pt>
                <c:pt idx="21">
                  <c:v>3956.8340000000012</c:v>
                </c:pt>
                <c:pt idx="22">
                  <c:v>4045.0620000000004</c:v>
                </c:pt>
                <c:pt idx="23">
                  <c:v>4045.0620000000004</c:v>
                </c:pt>
                <c:pt idx="24">
                  <c:v>4093.0120000000002</c:v>
                </c:pt>
                <c:pt idx="25">
                  <c:v>4142.88</c:v>
                </c:pt>
                <c:pt idx="26">
                  <c:v>4194.6660000000202</c:v>
                </c:pt>
                <c:pt idx="27">
                  <c:v>4355.7779999999975</c:v>
                </c:pt>
                <c:pt idx="28">
                  <c:v>4411.4000000000005</c:v>
                </c:pt>
                <c:pt idx="29">
                  <c:v>5159.42</c:v>
                </c:pt>
              </c:numCache>
            </c:numRef>
          </c:val>
        </c:ser>
        <c:ser>
          <c:idx val="3"/>
          <c:order val="3"/>
          <c:tx>
            <c:strRef>
              <c:f>'graf-hyp 2014'!$E$1</c:f>
              <c:strCache>
                <c:ptCount val="1"/>
                <c:pt idx="0">
                  <c:v>Udgift 2013</c:v>
                </c:pt>
              </c:strCache>
            </c:strRef>
          </c:tx>
          <c:marker>
            <c:symbol val="none"/>
          </c:marker>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2014'!$E$2:$E$31</c:f>
              <c:numCache>
                <c:formatCode>0.0</c:formatCode>
                <c:ptCount val="30"/>
                <c:pt idx="0">
                  <c:v>36.043000000000006</c:v>
                </c:pt>
                <c:pt idx="1">
                  <c:v>100.54100000000012</c:v>
                </c:pt>
                <c:pt idx="2">
                  <c:v>208.67000000000002</c:v>
                </c:pt>
                <c:pt idx="3">
                  <c:v>276.96199999999857</c:v>
                </c:pt>
                <c:pt idx="4">
                  <c:v>419.23699999999826</c:v>
                </c:pt>
                <c:pt idx="5">
                  <c:v>544.43899999999996</c:v>
                </c:pt>
                <c:pt idx="6">
                  <c:v>717.06599999999946</c:v>
                </c:pt>
                <c:pt idx="7">
                  <c:v>899.17800000000261</c:v>
                </c:pt>
                <c:pt idx="8">
                  <c:v>1069.9080000000001</c:v>
                </c:pt>
                <c:pt idx="9">
                  <c:v>1221.6679999999999</c:v>
                </c:pt>
                <c:pt idx="10">
                  <c:v>1346.87</c:v>
                </c:pt>
                <c:pt idx="11">
                  <c:v>1483.454</c:v>
                </c:pt>
                <c:pt idx="12">
                  <c:v>1631.42</c:v>
                </c:pt>
                <c:pt idx="13">
                  <c:v>1950.116</c:v>
                </c:pt>
                <c:pt idx="14">
                  <c:v>2177.7559999999999</c:v>
                </c:pt>
                <c:pt idx="15">
                  <c:v>2359.8679999999999</c:v>
                </c:pt>
                <c:pt idx="16">
                  <c:v>2392.1169999999997</c:v>
                </c:pt>
                <c:pt idx="17">
                  <c:v>2460.4089999999997</c:v>
                </c:pt>
                <c:pt idx="18">
                  <c:v>2496.4520000000002</c:v>
                </c:pt>
                <c:pt idx="19">
                  <c:v>2610.2719999999999</c:v>
                </c:pt>
                <c:pt idx="20">
                  <c:v>2809.4569999999999</c:v>
                </c:pt>
                <c:pt idx="21">
                  <c:v>2809.4569999999999</c:v>
                </c:pt>
                <c:pt idx="22">
                  <c:v>2896.7190000000001</c:v>
                </c:pt>
                <c:pt idx="23">
                  <c:v>2987.7750000000001</c:v>
                </c:pt>
                <c:pt idx="24">
                  <c:v>2987.7750000000001</c:v>
                </c:pt>
                <c:pt idx="25">
                  <c:v>3086.4189999999999</c:v>
                </c:pt>
                <c:pt idx="26">
                  <c:v>3137.6379999999999</c:v>
                </c:pt>
                <c:pt idx="27">
                  <c:v>3350.1019999999999</c:v>
                </c:pt>
                <c:pt idx="28">
                  <c:v>3405.1149999999998</c:v>
                </c:pt>
                <c:pt idx="29">
                  <c:v>3809.1759999999999</c:v>
                </c:pt>
              </c:numCache>
            </c:numRef>
          </c:val>
        </c:ser>
        <c:marker val="1"/>
        <c:axId val="267367936"/>
        <c:axId val="267366400"/>
      </c:lineChart>
      <c:catAx>
        <c:axId val="267358208"/>
        <c:scaling>
          <c:orientation val="minMax"/>
        </c:scaling>
        <c:axPos val="b"/>
        <c:title>
          <c:tx>
            <c:rich>
              <a:bodyPr/>
              <a:lstStyle/>
              <a:p>
                <a:pPr>
                  <a:defRPr sz="700"/>
                </a:pPr>
                <a:r>
                  <a:rPr lang="da-DK" sz="700"/>
                  <a:t>Antal</a:t>
                </a:r>
                <a:r>
                  <a:rPr lang="da-DK" sz="700" baseline="0"/>
                  <a:t> færdigmeldte dage på sygehus</a:t>
                </a:r>
                <a:endParaRPr lang="da-DK" sz="700"/>
              </a:p>
            </c:rich>
          </c:tx>
          <c:layout>
            <c:manualLayout>
              <c:xMode val="edge"/>
              <c:yMode val="edge"/>
              <c:x val="0.3904552071077339"/>
              <c:y val="0.85230387868183399"/>
            </c:manualLayout>
          </c:layout>
        </c:title>
        <c:tickLblPos val="nextTo"/>
        <c:txPr>
          <a:bodyPr/>
          <a:lstStyle/>
          <a:p>
            <a:pPr>
              <a:defRPr sz="800"/>
            </a:pPr>
            <a:endParaRPr lang="da-DK"/>
          </a:p>
        </c:txPr>
        <c:crossAx val="267360128"/>
        <c:crosses val="autoZero"/>
        <c:auto val="1"/>
        <c:lblAlgn val="ctr"/>
        <c:lblOffset val="100"/>
      </c:catAx>
      <c:valAx>
        <c:axId val="267360128"/>
        <c:scaling>
          <c:orientation val="minMax"/>
        </c:scaling>
        <c:axPos val="l"/>
        <c:majorGridlines/>
        <c:title>
          <c:tx>
            <c:rich>
              <a:bodyPr rot="-5400000" vert="horz"/>
              <a:lstStyle/>
              <a:p>
                <a:pPr>
                  <a:defRPr sz="700"/>
                </a:pPr>
                <a:r>
                  <a:rPr lang="da-DK" sz="700"/>
                  <a:t>Antal</a:t>
                </a:r>
                <a:r>
                  <a:rPr lang="da-DK" sz="700" baseline="0"/>
                  <a:t> færdigmedlte borgere</a:t>
                </a:r>
                <a:endParaRPr lang="da-DK" sz="700"/>
              </a:p>
            </c:rich>
          </c:tx>
          <c:layout/>
        </c:title>
        <c:numFmt formatCode="General" sourceLinked="1"/>
        <c:tickLblPos val="nextTo"/>
        <c:txPr>
          <a:bodyPr/>
          <a:lstStyle/>
          <a:p>
            <a:pPr>
              <a:defRPr sz="800"/>
            </a:pPr>
            <a:endParaRPr lang="da-DK"/>
          </a:p>
        </c:txPr>
        <c:crossAx val="267358208"/>
        <c:crosses val="autoZero"/>
        <c:crossBetween val="between"/>
      </c:valAx>
      <c:valAx>
        <c:axId val="267366400"/>
        <c:scaling>
          <c:orientation val="minMax"/>
        </c:scaling>
        <c:axPos val="r"/>
        <c:numFmt formatCode="#,##0" sourceLinked="0"/>
        <c:tickLblPos val="nextTo"/>
        <c:txPr>
          <a:bodyPr/>
          <a:lstStyle/>
          <a:p>
            <a:pPr>
              <a:defRPr sz="800"/>
            </a:pPr>
            <a:endParaRPr lang="da-DK"/>
          </a:p>
        </c:txPr>
        <c:crossAx val="267367936"/>
        <c:crosses val="max"/>
        <c:crossBetween val="between"/>
      </c:valAx>
      <c:catAx>
        <c:axId val="267367936"/>
        <c:scaling>
          <c:orientation val="minMax"/>
        </c:scaling>
        <c:delete val="1"/>
        <c:axPos val="b"/>
        <c:tickLblPos val="none"/>
        <c:crossAx val="267366400"/>
        <c:crosses val="autoZero"/>
        <c:auto val="1"/>
        <c:lblAlgn val="ctr"/>
        <c:lblOffset val="100"/>
      </c:catAx>
    </c:plotArea>
    <c:legend>
      <c:legendPos val="b"/>
      <c:layout>
        <c:manualLayout>
          <c:xMode val="edge"/>
          <c:yMode val="edge"/>
          <c:x val="7.4693411168432047E-2"/>
          <c:y val="0.91357720909886253"/>
          <c:w val="0.85540226113977169"/>
          <c:h val="7.2533902012248838E-2"/>
        </c:manualLayout>
      </c:layout>
      <c:txPr>
        <a:bodyPr/>
        <a:lstStyle/>
        <a:p>
          <a:pPr>
            <a:defRPr sz="800"/>
          </a:pPr>
          <a:endParaRPr lang="da-DK"/>
        </a:p>
      </c:txPr>
    </c:legend>
    <c:plotVisOnly val="1"/>
    <c:dispBlanksAs val="gap"/>
  </c:chart>
  <c:externalData r:id="rId1"/>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97A0983-A65C-4DBA-8AF0-E6BFEDC39E78}" type="doc">
      <dgm:prSet loTypeId="urn:microsoft.com/office/officeart/2005/8/layout/equation1" loCatId="process" qsTypeId="urn:microsoft.com/office/officeart/2005/8/quickstyle/simple1" qsCatId="simple" csTypeId="urn:microsoft.com/office/officeart/2005/8/colors/accent1_2" csCatId="accent1" phldr="1"/>
      <dgm:spPr/>
    </dgm:pt>
    <dgm:pt modelId="{C396F85A-48CE-408C-A268-6007C1773CB6}">
      <dgm:prSet phldrT="[Tekst]" custT="1"/>
      <dgm:spPr/>
      <dgm:t>
        <a:bodyPr/>
        <a:lstStyle/>
        <a:p>
          <a:r>
            <a:rPr lang="da-DK" sz="1000" dirty="0" smtClean="0"/>
            <a:t>Basis-budget</a:t>
          </a:r>
        </a:p>
        <a:p>
          <a:r>
            <a:rPr lang="da-DK" sz="1000" dirty="0" smtClean="0"/>
            <a:t>År X</a:t>
          </a:r>
          <a:endParaRPr lang="da-DK" sz="1000" dirty="0"/>
        </a:p>
      </dgm:t>
    </dgm:pt>
    <dgm:pt modelId="{7A82B532-7677-4738-88B7-637901FF0D09}" type="parTrans" cxnId="{AE7BF11D-C59C-4398-825B-7450DB89BA83}">
      <dgm:prSet/>
      <dgm:spPr/>
      <dgm:t>
        <a:bodyPr/>
        <a:lstStyle/>
        <a:p>
          <a:endParaRPr lang="da-DK" sz="1000"/>
        </a:p>
      </dgm:t>
    </dgm:pt>
    <dgm:pt modelId="{7294A534-BECB-4B30-A41C-FDCEE2C87D08}" type="sibTrans" cxnId="{AE7BF11D-C59C-4398-825B-7450DB89BA83}">
      <dgm:prSet custT="1"/>
      <dgm:spPr/>
      <dgm:t>
        <a:bodyPr/>
        <a:lstStyle/>
        <a:p>
          <a:endParaRPr lang="da-DK" sz="1000" dirty="0"/>
        </a:p>
      </dgm:t>
    </dgm:pt>
    <dgm:pt modelId="{B6509303-D2F4-43A9-A9AA-D1265EFDCF81}">
      <dgm:prSet phldrT="[Tekst]" custT="1"/>
      <dgm:spPr/>
      <dgm:t>
        <a:bodyPr/>
        <a:lstStyle/>
        <a:p>
          <a:r>
            <a:rPr lang="da-DK" sz="1000" dirty="0" smtClean="0"/>
            <a:t> Effekt af demografi</a:t>
          </a:r>
        </a:p>
        <a:p>
          <a:r>
            <a:rPr lang="da-DK" sz="1000" dirty="0" smtClean="0"/>
            <a:t> </a:t>
          </a:r>
          <a:endParaRPr lang="da-DK" sz="1000" dirty="0"/>
        </a:p>
      </dgm:t>
    </dgm:pt>
    <dgm:pt modelId="{B53C870A-6AA0-46E9-BFA3-A82FA3AB68FB}" type="parTrans" cxnId="{339E022C-0EFF-44A6-BAD5-94531318A50F}">
      <dgm:prSet/>
      <dgm:spPr/>
      <dgm:t>
        <a:bodyPr/>
        <a:lstStyle/>
        <a:p>
          <a:endParaRPr lang="da-DK" sz="1000"/>
        </a:p>
      </dgm:t>
    </dgm:pt>
    <dgm:pt modelId="{52379780-4617-4238-835D-B30FB33AA0B0}" type="sibTrans" cxnId="{339E022C-0EFF-44A6-BAD5-94531318A50F}">
      <dgm:prSet custT="1"/>
      <dgm:spPr/>
      <dgm:t>
        <a:bodyPr/>
        <a:lstStyle/>
        <a:p>
          <a:endParaRPr lang="da-DK" sz="1000"/>
        </a:p>
      </dgm:t>
    </dgm:pt>
    <dgm:pt modelId="{BDD63DBB-EFD9-4528-8201-CEAF8AB3116D}">
      <dgm:prSet phldrT="[Tekst]" custT="1"/>
      <dgm:spPr/>
      <dgm:t>
        <a:bodyPr/>
        <a:lstStyle/>
        <a:p>
          <a:r>
            <a:rPr lang="da-DK" sz="1000" dirty="0" smtClean="0"/>
            <a:t>Effekt af kvalitet </a:t>
          </a:r>
        </a:p>
        <a:p>
          <a:endParaRPr lang="da-DK" sz="1000" dirty="0"/>
        </a:p>
      </dgm:t>
    </dgm:pt>
    <dgm:pt modelId="{153F377D-A354-46D6-A728-D31EA2D35E66}" type="parTrans" cxnId="{DCD0F8B3-BA55-43DE-9A11-D0BF46D40EC3}">
      <dgm:prSet/>
      <dgm:spPr/>
      <dgm:t>
        <a:bodyPr/>
        <a:lstStyle/>
        <a:p>
          <a:endParaRPr lang="da-DK" sz="1000"/>
        </a:p>
      </dgm:t>
    </dgm:pt>
    <dgm:pt modelId="{4A2BB37E-DC6A-4113-9731-3EAE9F874C1F}" type="sibTrans" cxnId="{DCD0F8B3-BA55-43DE-9A11-D0BF46D40EC3}">
      <dgm:prSet custT="1"/>
      <dgm:spPr/>
      <dgm:t>
        <a:bodyPr/>
        <a:lstStyle/>
        <a:p>
          <a:endParaRPr lang="da-DK" sz="1000"/>
        </a:p>
      </dgm:t>
    </dgm:pt>
    <dgm:pt modelId="{846B6F36-5ED7-4260-B456-FC1BC59C2F03}">
      <dgm:prSet custT="1"/>
      <dgm:spPr/>
      <dgm:t>
        <a:bodyPr/>
        <a:lstStyle/>
        <a:p>
          <a:r>
            <a:rPr lang="da-DK" sz="1000" dirty="0" smtClean="0"/>
            <a:t>Nyt Budget</a:t>
          </a:r>
        </a:p>
        <a:p>
          <a:r>
            <a:rPr lang="da-DK" sz="1000" dirty="0" smtClean="0"/>
            <a:t>ÅR Y</a:t>
          </a:r>
          <a:endParaRPr lang="da-DK" sz="1000" dirty="0"/>
        </a:p>
      </dgm:t>
    </dgm:pt>
    <dgm:pt modelId="{D79D2D87-60D7-4A28-BD65-91B3F4289D0A}" type="parTrans" cxnId="{C1735574-1F77-4595-8D53-AB78C5AC0159}">
      <dgm:prSet/>
      <dgm:spPr/>
      <dgm:t>
        <a:bodyPr/>
        <a:lstStyle/>
        <a:p>
          <a:endParaRPr lang="da-DK" sz="1000"/>
        </a:p>
      </dgm:t>
    </dgm:pt>
    <dgm:pt modelId="{97914334-433C-441F-9772-406419B350FE}" type="sibTrans" cxnId="{C1735574-1F77-4595-8D53-AB78C5AC0159}">
      <dgm:prSet/>
      <dgm:spPr/>
      <dgm:t>
        <a:bodyPr/>
        <a:lstStyle/>
        <a:p>
          <a:endParaRPr lang="da-DK" sz="1000"/>
        </a:p>
      </dgm:t>
    </dgm:pt>
    <dgm:pt modelId="{ABBA4C78-F4E0-4940-9A2A-27396FA4D6B4}" type="pres">
      <dgm:prSet presAssocID="{497A0983-A65C-4DBA-8AF0-E6BFEDC39E78}" presName="linearFlow" presStyleCnt="0">
        <dgm:presLayoutVars>
          <dgm:dir/>
          <dgm:resizeHandles val="exact"/>
        </dgm:presLayoutVars>
      </dgm:prSet>
      <dgm:spPr/>
    </dgm:pt>
    <dgm:pt modelId="{6401D993-AF25-4D00-8934-76133E0FE8C6}" type="pres">
      <dgm:prSet presAssocID="{C396F85A-48CE-408C-A268-6007C1773CB6}" presName="node" presStyleLbl="node1" presStyleIdx="0" presStyleCnt="4" custScaleY="170419">
        <dgm:presLayoutVars>
          <dgm:bulletEnabled val="1"/>
        </dgm:presLayoutVars>
      </dgm:prSet>
      <dgm:spPr/>
      <dgm:t>
        <a:bodyPr/>
        <a:lstStyle/>
        <a:p>
          <a:endParaRPr lang="da-DK"/>
        </a:p>
      </dgm:t>
    </dgm:pt>
    <dgm:pt modelId="{044C63B8-C492-44BC-A027-BBD3F7450AA9}" type="pres">
      <dgm:prSet presAssocID="{7294A534-BECB-4B30-A41C-FDCEE2C87D08}" presName="spacerL" presStyleCnt="0"/>
      <dgm:spPr/>
    </dgm:pt>
    <dgm:pt modelId="{51B135A0-3275-4D30-8304-5A9F8B17F985}" type="pres">
      <dgm:prSet presAssocID="{7294A534-BECB-4B30-A41C-FDCEE2C87D08}" presName="sibTrans" presStyleLbl="sibTrans2D1" presStyleIdx="0" presStyleCnt="3"/>
      <dgm:spPr/>
      <dgm:t>
        <a:bodyPr/>
        <a:lstStyle/>
        <a:p>
          <a:endParaRPr lang="da-DK"/>
        </a:p>
      </dgm:t>
    </dgm:pt>
    <dgm:pt modelId="{A4663A49-8E50-4716-8BDE-CD8E5BD2CB03}" type="pres">
      <dgm:prSet presAssocID="{7294A534-BECB-4B30-A41C-FDCEE2C87D08}" presName="spacerR" presStyleCnt="0"/>
      <dgm:spPr/>
    </dgm:pt>
    <dgm:pt modelId="{59E688AB-5115-47CA-B86D-B857FA74C0C2}" type="pres">
      <dgm:prSet presAssocID="{B6509303-D2F4-43A9-A9AA-D1265EFDCF81}" presName="node" presStyleLbl="node1" presStyleIdx="1" presStyleCnt="4" custScaleY="170419">
        <dgm:presLayoutVars>
          <dgm:bulletEnabled val="1"/>
        </dgm:presLayoutVars>
      </dgm:prSet>
      <dgm:spPr/>
      <dgm:t>
        <a:bodyPr/>
        <a:lstStyle/>
        <a:p>
          <a:endParaRPr lang="da-DK"/>
        </a:p>
      </dgm:t>
    </dgm:pt>
    <dgm:pt modelId="{C33D7CB4-C29E-422F-9878-67B9C0BCA71C}" type="pres">
      <dgm:prSet presAssocID="{52379780-4617-4238-835D-B30FB33AA0B0}" presName="spacerL" presStyleCnt="0"/>
      <dgm:spPr/>
    </dgm:pt>
    <dgm:pt modelId="{309F2E7C-0760-44E2-9418-673F266C7C89}" type="pres">
      <dgm:prSet presAssocID="{52379780-4617-4238-835D-B30FB33AA0B0}" presName="sibTrans" presStyleLbl="sibTrans2D1" presStyleIdx="1" presStyleCnt="3"/>
      <dgm:spPr/>
      <dgm:t>
        <a:bodyPr/>
        <a:lstStyle/>
        <a:p>
          <a:endParaRPr lang="da-DK"/>
        </a:p>
      </dgm:t>
    </dgm:pt>
    <dgm:pt modelId="{FE217D36-A854-423B-9847-8301763C1C5F}" type="pres">
      <dgm:prSet presAssocID="{52379780-4617-4238-835D-B30FB33AA0B0}" presName="spacerR" presStyleCnt="0"/>
      <dgm:spPr/>
    </dgm:pt>
    <dgm:pt modelId="{749E067F-F8A0-488A-ABEE-7F7268528FD1}" type="pres">
      <dgm:prSet presAssocID="{BDD63DBB-EFD9-4528-8201-CEAF8AB3116D}" presName="node" presStyleLbl="node1" presStyleIdx="2" presStyleCnt="4" custScaleY="175186">
        <dgm:presLayoutVars>
          <dgm:bulletEnabled val="1"/>
        </dgm:presLayoutVars>
      </dgm:prSet>
      <dgm:spPr/>
      <dgm:t>
        <a:bodyPr/>
        <a:lstStyle/>
        <a:p>
          <a:endParaRPr lang="da-DK"/>
        </a:p>
      </dgm:t>
    </dgm:pt>
    <dgm:pt modelId="{69CCB6A3-5B82-44D5-98FF-EA00F66F5FF9}" type="pres">
      <dgm:prSet presAssocID="{4A2BB37E-DC6A-4113-9731-3EAE9F874C1F}" presName="spacerL" presStyleCnt="0"/>
      <dgm:spPr/>
    </dgm:pt>
    <dgm:pt modelId="{E06451F1-C19B-4A78-B85B-80FB3C42A0F4}" type="pres">
      <dgm:prSet presAssocID="{4A2BB37E-DC6A-4113-9731-3EAE9F874C1F}" presName="sibTrans" presStyleLbl="sibTrans2D1" presStyleIdx="2" presStyleCnt="3"/>
      <dgm:spPr/>
      <dgm:t>
        <a:bodyPr/>
        <a:lstStyle/>
        <a:p>
          <a:endParaRPr lang="da-DK"/>
        </a:p>
      </dgm:t>
    </dgm:pt>
    <dgm:pt modelId="{35667398-86AE-44F9-9628-032CD0E09F18}" type="pres">
      <dgm:prSet presAssocID="{4A2BB37E-DC6A-4113-9731-3EAE9F874C1F}" presName="spacerR" presStyleCnt="0"/>
      <dgm:spPr/>
    </dgm:pt>
    <dgm:pt modelId="{AE4CAA8B-212E-4489-80E2-63D2915E13C8}" type="pres">
      <dgm:prSet presAssocID="{846B6F36-5ED7-4260-B456-FC1BC59C2F03}" presName="node" presStyleLbl="node1" presStyleIdx="3" presStyleCnt="4" custScaleY="168035">
        <dgm:presLayoutVars>
          <dgm:bulletEnabled val="1"/>
        </dgm:presLayoutVars>
      </dgm:prSet>
      <dgm:spPr/>
      <dgm:t>
        <a:bodyPr/>
        <a:lstStyle/>
        <a:p>
          <a:endParaRPr lang="da-DK"/>
        </a:p>
      </dgm:t>
    </dgm:pt>
  </dgm:ptLst>
  <dgm:cxnLst>
    <dgm:cxn modelId="{910553B8-2A59-4D86-B483-D3B015019C57}" type="presOf" srcId="{B6509303-D2F4-43A9-A9AA-D1265EFDCF81}" destId="{59E688AB-5115-47CA-B86D-B857FA74C0C2}" srcOrd="0" destOrd="0" presId="urn:microsoft.com/office/officeart/2005/8/layout/equation1"/>
    <dgm:cxn modelId="{AE7BF11D-C59C-4398-825B-7450DB89BA83}" srcId="{497A0983-A65C-4DBA-8AF0-E6BFEDC39E78}" destId="{C396F85A-48CE-408C-A268-6007C1773CB6}" srcOrd="0" destOrd="0" parTransId="{7A82B532-7677-4738-88B7-637901FF0D09}" sibTransId="{7294A534-BECB-4B30-A41C-FDCEE2C87D08}"/>
    <dgm:cxn modelId="{928D0616-B6FD-42E4-9F0A-FF3D367A38E0}" type="presOf" srcId="{C396F85A-48CE-408C-A268-6007C1773CB6}" destId="{6401D993-AF25-4D00-8934-76133E0FE8C6}" srcOrd="0" destOrd="0" presId="urn:microsoft.com/office/officeart/2005/8/layout/equation1"/>
    <dgm:cxn modelId="{156A40FB-2D63-41E3-A6C8-7CA433CA4B09}" type="presOf" srcId="{7294A534-BECB-4B30-A41C-FDCEE2C87D08}" destId="{51B135A0-3275-4D30-8304-5A9F8B17F985}" srcOrd="0" destOrd="0" presId="urn:microsoft.com/office/officeart/2005/8/layout/equation1"/>
    <dgm:cxn modelId="{6FA749A7-70F3-4DBC-A6FB-72080D571E6D}" type="presOf" srcId="{497A0983-A65C-4DBA-8AF0-E6BFEDC39E78}" destId="{ABBA4C78-F4E0-4940-9A2A-27396FA4D6B4}" srcOrd="0" destOrd="0" presId="urn:microsoft.com/office/officeart/2005/8/layout/equation1"/>
    <dgm:cxn modelId="{E7934F39-5AE1-4754-909D-6E4FC6E80F64}" type="presOf" srcId="{846B6F36-5ED7-4260-B456-FC1BC59C2F03}" destId="{AE4CAA8B-212E-4489-80E2-63D2915E13C8}" srcOrd="0" destOrd="0" presId="urn:microsoft.com/office/officeart/2005/8/layout/equation1"/>
    <dgm:cxn modelId="{3ED4DCBC-A33D-41CB-B3F0-F440BDA4B61E}" type="presOf" srcId="{4A2BB37E-DC6A-4113-9731-3EAE9F874C1F}" destId="{E06451F1-C19B-4A78-B85B-80FB3C42A0F4}" srcOrd="0" destOrd="0" presId="urn:microsoft.com/office/officeart/2005/8/layout/equation1"/>
    <dgm:cxn modelId="{C1735574-1F77-4595-8D53-AB78C5AC0159}" srcId="{497A0983-A65C-4DBA-8AF0-E6BFEDC39E78}" destId="{846B6F36-5ED7-4260-B456-FC1BC59C2F03}" srcOrd="3" destOrd="0" parTransId="{D79D2D87-60D7-4A28-BD65-91B3F4289D0A}" sibTransId="{97914334-433C-441F-9772-406419B350FE}"/>
    <dgm:cxn modelId="{C312FBFE-60CD-47AA-82FB-EAA1A8D742BA}" type="presOf" srcId="{BDD63DBB-EFD9-4528-8201-CEAF8AB3116D}" destId="{749E067F-F8A0-488A-ABEE-7F7268528FD1}" srcOrd="0" destOrd="0" presId="urn:microsoft.com/office/officeart/2005/8/layout/equation1"/>
    <dgm:cxn modelId="{DCD0F8B3-BA55-43DE-9A11-D0BF46D40EC3}" srcId="{497A0983-A65C-4DBA-8AF0-E6BFEDC39E78}" destId="{BDD63DBB-EFD9-4528-8201-CEAF8AB3116D}" srcOrd="2" destOrd="0" parTransId="{153F377D-A354-46D6-A728-D31EA2D35E66}" sibTransId="{4A2BB37E-DC6A-4113-9731-3EAE9F874C1F}"/>
    <dgm:cxn modelId="{339E022C-0EFF-44A6-BAD5-94531318A50F}" srcId="{497A0983-A65C-4DBA-8AF0-E6BFEDC39E78}" destId="{B6509303-D2F4-43A9-A9AA-D1265EFDCF81}" srcOrd="1" destOrd="0" parTransId="{B53C870A-6AA0-46E9-BFA3-A82FA3AB68FB}" sibTransId="{52379780-4617-4238-835D-B30FB33AA0B0}"/>
    <dgm:cxn modelId="{C90E4AF8-BE25-4F17-ACA5-19D48F614161}" type="presOf" srcId="{52379780-4617-4238-835D-B30FB33AA0B0}" destId="{309F2E7C-0760-44E2-9418-673F266C7C89}" srcOrd="0" destOrd="0" presId="urn:microsoft.com/office/officeart/2005/8/layout/equation1"/>
    <dgm:cxn modelId="{563C247F-15DC-4E95-A5C2-97F70BB5B4CF}" type="presParOf" srcId="{ABBA4C78-F4E0-4940-9A2A-27396FA4D6B4}" destId="{6401D993-AF25-4D00-8934-76133E0FE8C6}" srcOrd="0" destOrd="0" presId="urn:microsoft.com/office/officeart/2005/8/layout/equation1"/>
    <dgm:cxn modelId="{C002D6E5-E65C-446E-9766-6382DAFF9441}" type="presParOf" srcId="{ABBA4C78-F4E0-4940-9A2A-27396FA4D6B4}" destId="{044C63B8-C492-44BC-A027-BBD3F7450AA9}" srcOrd="1" destOrd="0" presId="urn:microsoft.com/office/officeart/2005/8/layout/equation1"/>
    <dgm:cxn modelId="{DAF48035-1EF4-4E77-B2CB-CA62B91D693C}" type="presParOf" srcId="{ABBA4C78-F4E0-4940-9A2A-27396FA4D6B4}" destId="{51B135A0-3275-4D30-8304-5A9F8B17F985}" srcOrd="2" destOrd="0" presId="urn:microsoft.com/office/officeart/2005/8/layout/equation1"/>
    <dgm:cxn modelId="{49B615E3-ABF8-440B-87AA-68C1A536C2B1}" type="presParOf" srcId="{ABBA4C78-F4E0-4940-9A2A-27396FA4D6B4}" destId="{A4663A49-8E50-4716-8BDE-CD8E5BD2CB03}" srcOrd="3" destOrd="0" presId="urn:microsoft.com/office/officeart/2005/8/layout/equation1"/>
    <dgm:cxn modelId="{060B6233-7E91-42CC-98CE-0BCC13B0BC6B}" type="presParOf" srcId="{ABBA4C78-F4E0-4940-9A2A-27396FA4D6B4}" destId="{59E688AB-5115-47CA-B86D-B857FA74C0C2}" srcOrd="4" destOrd="0" presId="urn:microsoft.com/office/officeart/2005/8/layout/equation1"/>
    <dgm:cxn modelId="{732110A1-FCFD-4832-9780-058FD41CBCE5}" type="presParOf" srcId="{ABBA4C78-F4E0-4940-9A2A-27396FA4D6B4}" destId="{C33D7CB4-C29E-422F-9878-67B9C0BCA71C}" srcOrd="5" destOrd="0" presId="urn:microsoft.com/office/officeart/2005/8/layout/equation1"/>
    <dgm:cxn modelId="{9435840C-B62B-46BF-B215-17A00767CF24}" type="presParOf" srcId="{ABBA4C78-F4E0-4940-9A2A-27396FA4D6B4}" destId="{309F2E7C-0760-44E2-9418-673F266C7C89}" srcOrd="6" destOrd="0" presId="urn:microsoft.com/office/officeart/2005/8/layout/equation1"/>
    <dgm:cxn modelId="{97A6BD9F-C72E-420B-9678-27F0BDFCEB54}" type="presParOf" srcId="{ABBA4C78-F4E0-4940-9A2A-27396FA4D6B4}" destId="{FE217D36-A854-423B-9847-8301763C1C5F}" srcOrd="7" destOrd="0" presId="urn:microsoft.com/office/officeart/2005/8/layout/equation1"/>
    <dgm:cxn modelId="{FC52E57B-03F1-44AF-A353-3949BB4F49C1}" type="presParOf" srcId="{ABBA4C78-F4E0-4940-9A2A-27396FA4D6B4}" destId="{749E067F-F8A0-488A-ABEE-7F7268528FD1}" srcOrd="8" destOrd="0" presId="urn:microsoft.com/office/officeart/2005/8/layout/equation1"/>
    <dgm:cxn modelId="{51EF3210-5177-4D5D-9675-5480F3318097}" type="presParOf" srcId="{ABBA4C78-F4E0-4940-9A2A-27396FA4D6B4}" destId="{69CCB6A3-5B82-44D5-98FF-EA00F66F5FF9}" srcOrd="9" destOrd="0" presId="urn:microsoft.com/office/officeart/2005/8/layout/equation1"/>
    <dgm:cxn modelId="{A1E21E7C-8715-4E5C-B8D8-03B621FFE11C}" type="presParOf" srcId="{ABBA4C78-F4E0-4940-9A2A-27396FA4D6B4}" destId="{E06451F1-C19B-4A78-B85B-80FB3C42A0F4}" srcOrd="10" destOrd="0" presId="urn:microsoft.com/office/officeart/2005/8/layout/equation1"/>
    <dgm:cxn modelId="{8AB4872F-A467-40D7-981F-39531EDA267F}" type="presParOf" srcId="{ABBA4C78-F4E0-4940-9A2A-27396FA4D6B4}" destId="{35667398-86AE-44F9-9628-032CD0E09F18}" srcOrd="11" destOrd="0" presId="urn:microsoft.com/office/officeart/2005/8/layout/equation1"/>
    <dgm:cxn modelId="{2049F31C-5DFC-4B36-B69A-9664A1BBABA3}" type="presParOf" srcId="{ABBA4C78-F4E0-4940-9A2A-27396FA4D6B4}" destId="{AE4CAA8B-212E-4489-80E2-63D2915E13C8}" srcOrd="12" destOrd="0" presId="urn:microsoft.com/office/officeart/2005/8/layout/equation1"/>
  </dgm:cxnLst>
  <dgm:bg/>
  <dgm:whole/>
  <dgm:extLst>
    <a:ext uri="http://schemas.microsoft.com/office/drawing/2008/diagram">
      <dsp:dataModelExt xmlns:dsp="http://schemas.microsoft.com/office/drawing/2008/diagram" xmlns="" relId="rId2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69575E2-0092-4642-867B-56FC73BC4BB4}" type="doc">
      <dgm:prSet loTypeId="urn:microsoft.com/office/officeart/2005/8/layout/cycle1" loCatId="cycle" qsTypeId="urn:microsoft.com/office/officeart/2005/8/quickstyle/simple1" qsCatId="simple" csTypeId="urn:microsoft.com/office/officeart/2005/8/colors/accent1_2" csCatId="accent1" phldr="1"/>
      <dgm:spPr/>
      <dgm:t>
        <a:bodyPr/>
        <a:lstStyle/>
        <a:p>
          <a:endParaRPr lang="da-DK"/>
        </a:p>
      </dgm:t>
    </dgm:pt>
    <dgm:pt modelId="{D04F198F-DF67-471A-B7E7-942AA84B7437}">
      <dgm:prSet phldrT="[Tekst]" custT="1"/>
      <dgm:spPr/>
      <dgm:t>
        <a:bodyPr/>
        <a:lstStyle/>
        <a:p>
          <a:r>
            <a:rPr lang="da-DK" sz="1100"/>
            <a:t>Døgn-plads</a:t>
          </a:r>
          <a:endParaRPr lang="da-DK" sz="1800"/>
        </a:p>
      </dgm:t>
    </dgm:pt>
    <dgm:pt modelId="{E0F6EDCE-2EE5-4B8A-A7CC-F7BB97444D18}" type="parTrans" cxnId="{847EBF85-9403-4BE8-9B86-B0449398B54F}">
      <dgm:prSet/>
      <dgm:spPr/>
      <dgm:t>
        <a:bodyPr/>
        <a:lstStyle/>
        <a:p>
          <a:endParaRPr lang="da-DK"/>
        </a:p>
      </dgm:t>
    </dgm:pt>
    <dgm:pt modelId="{096A7593-D6B7-4446-BF1F-B81AAB2EBC12}" type="sibTrans" cxnId="{847EBF85-9403-4BE8-9B86-B0449398B54F}">
      <dgm:prSet/>
      <dgm:spPr/>
      <dgm:t>
        <a:bodyPr/>
        <a:lstStyle/>
        <a:p>
          <a:endParaRPr lang="da-DK"/>
        </a:p>
      </dgm:t>
    </dgm:pt>
    <dgm:pt modelId="{6F4133E8-5AF4-4ABD-B14E-9E0944E39BE4}">
      <dgm:prSet phldrT="[Tekst]" custT="1"/>
      <dgm:spPr/>
      <dgm:t>
        <a:bodyPr/>
        <a:lstStyle/>
        <a:p>
          <a:r>
            <a:rPr lang="da-DK" sz="1100"/>
            <a:t>Privat bolig</a:t>
          </a:r>
        </a:p>
      </dgm:t>
    </dgm:pt>
    <dgm:pt modelId="{6E4FCB41-2F76-4126-8944-361F7F8A2D24}" type="parTrans" cxnId="{9275FD04-CDAA-4672-87CA-B4748450FBE7}">
      <dgm:prSet/>
      <dgm:spPr/>
      <dgm:t>
        <a:bodyPr/>
        <a:lstStyle/>
        <a:p>
          <a:endParaRPr lang="da-DK"/>
        </a:p>
      </dgm:t>
    </dgm:pt>
    <dgm:pt modelId="{0566C6F2-C394-43D3-85FC-A51005074A8D}" type="sibTrans" cxnId="{9275FD04-CDAA-4672-87CA-B4748450FBE7}">
      <dgm:prSet/>
      <dgm:spPr/>
      <dgm:t>
        <a:bodyPr/>
        <a:lstStyle/>
        <a:p>
          <a:endParaRPr lang="da-DK"/>
        </a:p>
      </dgm:t>
    </dgm:pt>
    <dgm:pt modelId="{B474EFC4-9FF8-41A1-81CB-C9713637DD3E}">
      <dgm:prSet phldrT="[Tekst]" custT="1"/>
      <dgm:spPr/>
      <dgm:t>
        <a:bodyPr/>
        <a:lstStyle/>
        <a:p>
          <a:r>
            <a:rPr lang="da-DK" sz="1100"/>
            <a:t>Sygehus</a:t>
          </a:r>
        </a:p>
      </dgm:t>
    </dgm:pt>
    <dgm:pt modelId="{C56F46AD-0FA6-4F7E-A6B0-2F2D57A2606F}" type="parTrans" cxnId="{1F80F8BE-F4D4-499C-A053-069199DE4EB3}">
      <dgm:prSet/>
      <dgm:spPr/>
      <dgm:t>
        <a:bodyPr/>
        <a:lstStyle/>
        <a:p>
          <a:endParaRPr lang="da-DK"/>
        </a:p>
      </dgm:t>
    </dgm:pt>
    <dgm:pt modelId="{332D47A5-3A79-4473-81CB-2F3047DEA2D1}" type="sibTrans" cxnId="{1F80F8BE-F4D4-499C-A053-069199DE4EB3}">
      <dgm:prSet/>
      <dgm:spPr/>
      <dgm:t>
        <a:bodyPr/>
        <a:lstStyle/>
        <a:p>
          <a:endParaRPr lang="da-DK"/>
        </a:p>
      </dgm:t>
    </dgm:pt>
    <dgm:pt modelId="{F9C719E8-3D24-4898-B74B-619F15DBA2FF}" type="pres">
      <dgm:prSet presAssocID="{669575E2-0092-4642-867B-56FC73BC4BB4}" presName="cycle" presStyleCnt="0">
        <dgm:presLayoutVars>
          <dgm:dir/>
          <dgm:resizeHandles val="exact"/>
        </dgm:presLayoutVars>
      </dgm:prSet>
      <dgm:spPr/>
      <dgm:t>
        <a:bodyPr/>
        <a:lstStyle/>
        <a:p>
          <a:endParaRPr lang="da-DK"/>
        </a:p>
      </dgm:t>
    </dgm:pt>
    <dgm:pt modelId="{472775FF-031B-4CEB-9DDB-D6E78C9ED27A}" type="pres">
      <dgm:prSet presAssocID="{D04F198F-DF67-471A-B7E7-942AA84B7437}" presName="dummy" presStyleCnt="0"/>
      <dgm:spPr/>
    </dgm:pt>
    <dgm:pt modelId="{D38E8FDE-A3D6-4899-A46F-10FCD4BD797B}" type="pres">
      <dgm:prSet presAssocID="{D04F198F-DF67-471A-B7E7-942AA84B7437}" presName="node" presStyleLbl="revTx" presStyleIdx="0" presStyleCnt="3" custScaleX="87638" custScaleY="53988" custRadScaleRad="104455" custRadScaleInc="7517">
        <dgm:presLayoutVars>
          <dgm:bulletEnabled val="1"/>
        </dgm:presLayoutVars>
      </dgm:prSet>
      <dgm:spPr/>
      <dgm:t>
        <a:bodyPr/>
        <a:lstStyle/>
        <a:p>
          <a:endParaRPr lang="da-DK"/>
        </a:p>
      </dgm:t>
    </dgm:pt>
    <dgm:pt modelId="{E8CB350F-9E09-4C10-8FAA-0CA411429D2C}" type="pres">
      <dgm:prSet presAssocID="{096A7593-D6B7-4446-BF1F-B81AAB2EBC12}" presName="sibTrans" presStyleLbl="node1" presStyleIdx="0" presStyleCnt="3"/>
      <dgm:spPr/>
      <dgm:t>
        <a:bodyPr/>
        <a:lstStyle/>
        <a:p>
          <a:endParaRPr lang="da-DK"/>
        </a:p>
      </dgm:t>
    </dgm:pt>
    <dgm:pt modelId="{483E23E6-4042-42CB-A8F8-ECBBEADD4DED}" type="pres">
      <dgm:prSet presAssocID="{6F4133E8-5AF4-4ABD-B14E-9E0944E39BE4}" presName="dummy" presStyleCnt="0"/>
      <dgm:spPr/>
    </dgm:pt>
    <dgm:pt modelId="{C951F596-5A23-4BDD-9F6B-9F140FD4ACAD}" type="pres">
      <dgm:prSet presAssocID="{6F4133E8-5AF4-4ABD-B14E-9E0944E39BE4}" presName="node" presStyleLbl="revTx" presStyleIdx="1" presStyleCnt="3" custScaleX="76017" custScaleY="63833">
        <dgm:presLayoutVars>
          <dgm:bulletEnabled val="1"/>
        </dgm:presLayoutVars>
      </dgm:prSet>
      <dgm:spPr/>
      <dgm:t>
        <a:bodyPr/>
        <a:lstStyle/>
        <a:p>
          <a:endParaRPr lang="da-DK"/>
        </a:p>
      </dgm:t>
    </dgm:pt>
    <dgm:pt modelId="{9F1E3B6A-D91D-40AC-A211-AFD252AE2A90}" type="pres">
      <dgm:prSet presAssocID="{0566C6F2-C394-43D3-85FC-A51005074A8D}" presName="sibTrans" presStyleLbl="node1" presStyleIdx="1" presStyleCnt="3"/>
      <dgm:spPr/>
      <dgm:t>
        <a:bodyPr/>
        <a:lstStyle/>
        <a:p>
          <a:endParaRPr lang="da-DK"/>
        </a:p>
      </dgm:t>
    </dgm:pt>
    <dgm:pt modelId="{57862897-77F0-4945-9B1E-DABAA0950C69}" type="pres">
      <dgm:prSet presAssocID="{B474EFC4-9FF8-41A1-81CB-C9713637DD3E}" presName="dummy" presStyleCnt="0"/>
      <dgm:spPr/>
    </dgm:pt>
    <dgm:pt modelId="{BFE73B53-6F57-499E-BBA8-39DFDFC3E4D1}" type="pres">
      <dgm:prSet presAssocID="{B474EFC4-9FF8-41A1-81CB-C9713637DD3E}" presName="node" presStyleLbl="revTx" presStyleIdx="2" presStyleCnt="3" custScaleX="79717" custScaleY="36088">
        <dgm:presLayoutVars>
          <dgm:bulletEnabled val="1"/>
        </dgm:presLayoutVars>
      </dgm:prSet>
      <dgm:spPr/>
      <dgm:t>
        <a:bodyPr/>
        <a:lstStyle/>
        <a:p>
          <a:endParaRPr lang="da-DK"/>
        </a:p>
      </dgm:t>
    </dgm:pt>
    <dgm:pt modelId="{DEB5B550-4205-479B-A57E-BDAFF1C7B679}" type="pres">
      <dgm:prSet presAssocID="{332D47A5-3A79-4473-81CB-2F3047DEA2D1}" presName="sibTrans" presStyleLbl="node1" presStyleIdx="2" presStyleCnt="3"/>
      <dgm:spPr/>
      <dgm:t>
        <a:bodyPr/>
        <a:lstStyle/>
        <a:p>
          <a:endParaRPr lang="da-DK"/>
        </a:p>
      </dgm:t>
    </dgm:pt>
  </dgm:ptLst>
  <dgm:cxnLst>
    <dgm:cxn modelId="{5A260822-8DB7-402A-B82C-7A8CFE41361A}" type="presOf" srcId="{D04F198F-DF67-471A-B7E7-942AA84B7437}" destId="{D38E8FDE-A3D6-4899-A46F-10FCD4BD797B}" srcOrd="0" destOrd="0" presId="urn:microsoft.com/office/officeart/2005/8/layout/cycle1"/>
    <dgm:cxn modelId="{B2B9F49F-71D3-4870-A7F5-629DF11AE350}" type="presOf" srcId="{0566C6F2-C394-43D3-85FC-A51005074A8D}" destId="{9F1E3B6A-D91D-40AC-A211-AFD252AE2A90}" srcOrd="0" destOrd="0" presId="urn:microsoft.com/office/officeart/2005/8/layout/cycle1"/>
    <dgm:cxn modelId="{1F80F8BE-F4D4-499C-A053-069199DE4EB3}" srcId="{669575E2-0092-4642-867B-56FC73BC4BB4}" destId="{B474EFC4-9FF8-41A1-81CB-C9713637DD3E}" srcOrd="2" destOrd="0" parTransId="{C56F46AD-0FA6-4F7E-A6B0-2F2D57A2606F}" sibTransId="{332D47A5-3A79-4473-81CB-2F3047DEA2D1}"/>
    <dgm:cxn modelId="{B7E05877-7FB0-4B19-8C8A-07516034BFBB}" type="presOf" srcId="{6F4133E8-5AF4-4ABD-B14E-9E0944E39BE4}" destId="{C951F596-5A23-4BDD-9F6B-9F140FD4ACAD}" srcOrd="0" destOrd="0" presId="urn:microsoft.com/office/officeart/2005/8/layout/cycle1"/>
    <dgm:cxn modelId="{249F9439-50E8-4A09-97BD-53F7BAA54525}" type="presOf" srcId="{669575E2-0092-4642-867B-56FC73BC4BB4}" destId="{F9C719E8-3D24-4898-B74B-619F15DBA2FF}" srcOrd="0" destOrd="0" presId="urn:microsoft.com/office/officeart/2005/8/layout/cycle1"/>
    <dgm:cxn modelId="{9275FD04-CDAA-4672-87CA-B4748450FBE7}" srcId="{669575E2-0092-4642-867B-56FC73BC4BB4}" destId="{6F4133E8-5AF4-4ABD-B14E-9E0944E39BE4}" srcOrd="1" destOrd="0" parTransId="{6E4FCB41-2F76-4126-8944-361F7F8A2D24}" sibTransId="{0566C6F2-C394-43D3-85FC-A51005074A8D}"/>
    <dgm:cxn modelId="{56E29F4F-11E4-4A12-BDEB-556BE2DE811D}" type="presOf" srcId="{096A7593-D6B7-4446-BF1F-B81AAB2EBC12}" destId="{E8CB350F-9E09-4C10-8FAA-0CA411429D2C}" srcOrd="0" destOrd="0" presId="urn:microsoft.com/office/officeart/2005/8/layout/cycle1"/>
    <dgm:cxn modelId="{34ED54E4-F4D4-4C56-8F3A-6B1B82AF8737}" type="presOf" srcId="{332D47A5-3A79-4473-81CB-2F3047DEA2D1}" destId="{DEB5B550-4205-479B-A57E-BDAFF1C7B679}" srcOrd="0" destOrd="0" presId="urn:microsoft.com/office/officeart/2005/8/layout/cycle1"/>
    <dgm:cxn modelId="{80D1F52B-C81F-49DC-BD58-CFE3E283E267}" type="presOf" srcId="{B474EFC4-9FF8-41A1-81CB-C9713637DD3E}" destId="{BFE73B53-6F57-499E-BBA8-39DFDFC3E4D1}" srcOrd="0" destOrd="0" presId="urn:microsoft.com/office/officeart/2005/8/layout/cycle1"/>
    <dgm:cxn modelId="{847EBF85-9403-4BE8-9B86-B0449398B54F}" srcId="{669575E2-0092-4642-867B-56FC73BC4BB4}" destId="{D04F198F-DF67-471A-B7E7-942AA84B7437}" srcOrd="0" destOrd="0" parTransId="{E0F6EDCE-2EE5-4B8A-A7CC-F7BB97444D18}" sibTransId="{096A7593-D6B7-4446-BF1F-B81AAB2EBC12}"/>
    <dgm:cxn modelId="{B277D065-00CA-46AE-8399-C61B558C230E}" type="presParOf" srcId="{F9C719E8-3D24-4898-B74B-619F15DBA2FF}" destId="{472775FF-031B-4CEB-9DDB-D6E78C9ED27A}" srcOrd="0" destOrd="0" presId="urn:microsoft.com/office/officeart/2005/8/layout/cycle1"/>
    <dgm:cxn modelId="{159A0B0D-AE63-45A1-B1D5-8E09BB9EEBA2}" type="presParOf" srcId="{F9C719E8-3D24-4898-B74B-619F15DBA2FF}" destId="{D38E8FDE-A3D6-4899-A46F-10FCD4BD797B}" srcOrd="1" destOrd="0" presId="urn:microsoft.com/office/officeart/2005/8/layout/cycle1"/>
    <dgm:cxn modelId="{CD181DF8-76D4-4AE8-8C89-9AEDE47042B5}" type="presParOf" srcId="{F9C719E8-3D24-4898-B74B-619F15DBA2FF}" destId="{E8CB350F-9E09-4C10-8FAA-0CA411429D2C}" srcOrd="2" destOrd="0" presId="urn:microsoft.com/office/officeart/2005/8/layout/cycle1"/>
    <dgm:cxn modelId="{59766AE7-83CC-4DC9-BF2D-B52D79EF38BC}" type="presParOf" srcId="{F9C719E8-3D24-4898-B74B-619F15DBA2FF}" destId="{483E23E6-4042-42CB-A8F8-ECBBEADD4DED}" srcOrd="3" destOrd="0" presId="urn:microsoft.com/office/officeart/2005/8/layout/cycle1"/>
    <dgm:cxn modelId="{DA5C2BCE-9FEB-4806-AB11-300614C16CEA}" type="presParOf" srcId="{F9C719E8-3D24-4898-B74B-619F15DBA2FF}" destId="{C951F596-5A23-4BDD-9F6B-9F140FD4ACAD}" srcOrd="4" destOrd="0" presId="urn:microsoft.com/office/officeart/2005/8/layout/cycle1"/>
    <dgm:cxn modelId="{C179BE40-F452-4477-8D68-2A148AD8F48D}" type="presParOf" srcId="{F9C719E8-3D24-4898-B74B-619F15DBA2FF}" destId="{9F1E3B6A-D91D-40AC-A211-AFD252AE2A90}" srcOrd="5" destOrd="0" presId="urn:microsoft.com/office/officeart/2005/8/layout/cycle1"/>
    <dgm:cxn modelId="{5A086ED0-093B-4E4B-8A78-8500409FBDD3}" type="presParOf" srcId="{F9C719E8-3D24-4898-B74B-619F15DBA2FF}" destId="{57862897-77F0-4945-9B1E-DABAA0950C69}" srcOrd="6" destOrd="0" presId="urn:microsoft.com/office/officeart/2005/8/layout/cycle1"/>
    <dgm:cxn modelId="{45614C09-73B4-40F7-BCA3-7747739027E8}" type="presParOf" srcId="{F9C719E8-3D24-4898-B74B-619F15DBA2FF}" destId="{BFE73B53-6F57-499E-BBA8-39DFDFC3E4D1}" srcOrd="7" destOrd="0" presId="urn:microsoft.com/office/officeart/2005/8/layout/cycle1"/>
    <dgm:cxn modelId="{918DAB92-D8F5-42EA-BC13-7A66C4A4CB3C}" type="presParOf" srcId="{F9C719E8-3D24-4898-B74B-619F15DBA2FF}" destId="{DEB5B550-4205-479B-A57E-BDAFF1C7B679}" srcOrd="8" destOrd="0" presId="urn:microsoft.com/office/officeart/2005/8/layout/cycle1"/>
  </dgm:cxnLst>
  <dgm:bg/>
  <dgm:whole/>
  <dgm:extLst>
    <a:ext uri="http://schemas.microsoft.com/office/drawing/2008/diagram">
      <dsp:dataModelExt xmlns:dsp="http://schemas.microsoft.com/office/drawing/2008/diagram" xmlns="" relId="rId38"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6401D993-AF25-4D00-8934-76133E0FE8C6}">
      <dsp:nvSpPr>
        <dsp:cNvPr id="0" name=""/>
        <dsp:cNvSpPr/>
      </dsp:nvSpPr>
      <dsp:spPr>
        <a:xfrm>
          <a:off x="2876" y="219075"/>
          <a:ext cx="799250" cy="136207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da-DK" sz="1000" kern="1200" dirty="0" smtClean="0"/>
            <a:t>Basis-budget</a:t>
          </a:r>
        </a:p>
        <a:p>
          <a:pPr lvl="0" algn="ctr" defTabSz="444500">
            <a:lnSpc>
              <a:spcPct val="90000"/>
            </a:lnSpc>
            <a:spcBef>
              <a:spcPct val="0"/>
            </a:spcBef>
            <a:spcAft>
              <a:spcPct val="35000"/>
            </a:spcAft>
          </a:pPr>
          <a:r>
            <a:rPr lang="da-DK" sz="1000" kern="1200" dirty="0" smtClean="0"/>
            <a:t>År X</a:t>
          </a:r>
          <a:endParaRPr lang="da-DK" sz="1000" kern="1200" dirty="0"/>
        </a:p>
      </dsp:txBody>
      <dsp:txXfrm>
        <a:off x="2876" y="219075"/>
        <a:ext cx="799250" cy="1362074"/>
      </dsp:txXfrm>
    </dsp:sp>
    <dsp:sp modelId="{51B135A0-3275-4D30-8304-5A9F8B17F985}">
      <dsp:nvSpPr>
        <dsp:cNvPr id="0" name=""/>
        <dsp:cNvSpPr/>
      </dsp:nvSpPr>
      <dsp:spPr>
        <a:xfrm>
          <a:off x="867026" y="668329"/>
          <a:ext cx="463565" cy="463565"/>
        </a:xfrm>
        <a:prstGeom prst="mathPlus">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a:lnSpc>
              <a:spcPct val="90000"/>
            </a:lnSpc>
            <a:spcBef>
              <a:spcPct val="0"/>
            </a:spcBef>
            <a:spcAft>
              <a:spcPct val="35000"/>
            </a:spcAft>
          </a:pPr>
          <a:endParaRPr lang="da-DK" sz="1000" kern="1200" dirty="0"/>
        </a:p>
      </dsp:txBody>
      <dsp:txXfrm>
        <a:off x="867026" y="668329"/>
        <a:ext cx="463565" cy="463565"/>
      </dsp:txXfrm>
    </dsp:sp>
    <dsp:sp modelId="{59E688AB-5115-47CA-B86D-B857FA74C0C2}">
      <dsp:nvSpPr>
        <dsp:cNvPr id="0" name=""/>
        <dsp:cNvSpPr/>
      </dsp:nvSpPr>
      <dsp:spPr>
        <a:xfrm>
          <a:off x="1395490" y="219075"/>
          <a:ext cx="799250" cy="136207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da-DK" sz="1000" kern="1200" dirty="0" smtClean="0"/>
            <a:t> Effekt af demografi</a:t>
          </a:r>
        </a:p>
        <a:p>
          <a:pPr lvl="0" algn="ctr" defTabSz="444500">
            <a:lnSpc>
              <a:spcPct val="90000"/>
            </a:lnSpc>
            <a:spcBef>
              <a:spcPct val="0"/>
            </a:spcBef>
            <a:spcAft>
              <a:spcPct val="35000"/>
            </a:spcAft>
          </a:pPr>
          <a:r>
            <a:rPr lang="da-DK" sz="1000" kern="1200" dirty="0" smtClean="0"/>
            <a:t> </a:t>
          </a:r>
          <a:endParaRPr lang="da-DK" sz="1000" kern="1200" dirty="0"/>
        </a:p>
      </dsp:txBody>
      <dsp:txXfrm>
        <a:off x="1395490" y="219075"/>
        <a:ext cx="799250" cy="1362074"/>
      </dsp:txXfrm>
    </dsp:sp>
    <dsp:sp modelId="{309F2E7C-0760-44E2-9418-673F266C7C89}">
      <dsp:nvSpPr>
        <dsp:cNvPr id="0" name=""/>
        <dsp:cNvSpPr/>
      </dsp:nvSpPr>
      <dsp:spPr>
        <a:xfrm>
          <a:off x="2259639" y="668329"/>
          <a:ext cx="463565" cy="463565"/>
        </a:xfrm>
        <a:prstGeom prst="mathPlus">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a:lnSpc>
              <a:spcPct val="90000"/>
            </a:lnSpc>
            <a:spcBef>
              <a:spcPct val="0"/>
            </a:spcBef>
            <a:spcAft>
              <a:spcPct val="35000"/>
            </a:spcAft>
          </a:pPr>
          <a:endParaRPr lang="da-DK" sz="1000" kern="1200"/>
        </a:p>
      </dsp:txBody>
      <dsp:txXfrm>
        <a:off x="2259639" y="668329"/>
        <a:ext cx="463565" cy="463565"/>
      </dsp:txXfrm>
    </dsp:sp>
    <dsp:sp modelId="{749E067F-F8A0-488A-ABEE-7F7268528FD1}">
      <dsp:nvSpPr>
        <dsp:cNvPr id="0" name=""/>
        <dsp:cNvSpPr/>
      </dsp:nvSpPr>
      <dsp:spPr>
        <a:xfrm>
          <a:off x="2788104" y="200025"/>
          <a:ext cx="799250" cy="140017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da-DK" sz="1000" kern="1200" dirty="0" smtClean="0"/>
            <a:t>Effekt af kvalitet </a:t>
          </a:r>
        </a:p>
        <a:p>
          <a:pPr lvl="0" algn="ctr" defTabSz="444500">
            <a:lnSpc>
              <a:spcPct val="90000"/>
            </a:lnSpc>
            <a:spcBef>
              <a:spcPct val="0"/>
            </a:spcBef>
            <a:spcAft>
              <a:spcPct val="35000"/>
            </a:spcAft>
          </a:pPr>
          <a:endParaRPr lang="da-DK" sz="1000" kern="1200" dirty="0"/>
        </a:p>
      </dsp:txBody>
      <dsp:txXfrm>
        <a:off x="2788104" y="200025"/>
        <a:ext cx="799250" cy="1400174"/>
      </dsp:txXfrm>
    </dsp:sp>
    <dsp:sp modelId="{E06451F1-C19B-4A78-B85B-80FB3C42A0F4}">
      <dsp:nvSpPr>
        <dsp:cNvPr id="0" name=""/>
        <dsp:cNvSpPr/>
      </dsp:nvSpPr>
      <dsp:spPr>
        <a:xfrm>
          <a:off x="3652253" y="668329"/>
          <a:ext cx="463565" cy="463565"/>
        </a:xfrm>
        <a:prstGeom prst="mathEqual">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44500">
            <a:lnSpc>
              <a:spcPct val="90000"/>
            </a:lnSpc>
            <a:spcBef>
              <a:spcPct val="0"/>
            </a:spcBef>
            <a:spcAft>
              <a:spcPct val="35000"/>
            </a:spcAft>
          </a:pPr>
          <a:endParaRPr lang="da-DK" sz="1000" kern="1200"/>
        </a:p>
      </dsp:txBody>
      <dsp:txXfrm>
        <a:off x="3652253" y="668329"/>
        <a:ext cx="463565" cy="463565"/>
      </dsp:txXfrm>
    </dsp:sp>
    <dsp:sp modelId="{AE4CAA8B-212E-4489-80E2-63D2915E13C8}">
      <dsp:nvSpPr>
        <dsp:cNvPr id="0" name=""/>
        <dsp:cNvSpPr/>
      </dsp:nvSpPr>
      <dsp:spPr>
        <a:xfrm>
          <a:off x="4180717" y="228602"/>
          <a:ext cx="799250" cy="1343020"/>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da-DK" sz="1000" kern="1200" dirty="0" smtClean="0"/>
            <a:t>Nyt Budget</a:t>
          </a:r>
        </a:p>
        <a:p>
          <a:pPr lvl="0" algn="ctr" defTabSz="444500">
            <a:lnSpc>
              <a:spcPct val="90000"/>
            </a:lnSpc>
            <a:spcBef>
              <a:spcPct val="0"/>
            </a:spcBef>
            <a:spcAft>
              <a:spcPct val="35000"/>
            </a:spcAft>
          </a:pPr>
          <a:r>
            <a:rPr lang="da-DK" sz="1000" kern="1200" dirty="0" smtClean="0"/>
            <a:t>ÅR Y</a:t>
          </a:r>
          <a:endParaRPr lang="da-DK" sz="1000" kern="1200" dirty="0"/>
        </a:p>
      </dsp:txBody>
      <dsp:txXfrm>
        <a:off x="4180717" y="228602"/>
        <a:ext cx="799250" cy="1343020"/>
      </dsp:txXfrm>
    </dsp:sp>
  </dsp:spTree>
</dsp:drawing>
</file>

<file path=word/diagrams/drawing2.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D38E8FDE-A3D6-4899-A46F-10FCD4BD797B}">
      <dsp:nvSpPr>
        <dsp:cNvPr id="0" name=""/>
        <dsp:cNvSpPr/>
      </dsp:nvSpPr>
      <dsp:spPr>
        <a:xfrm>
          <a:off x="2286138" y="410357"/>
          <a:ext cx="663586" cy="4087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da-DK" sz="1100" kern="1200"/>
            <a:t>Døgn-plads</a:t>
          </a:r>
          <a:endParaRPr lang="da-DK" sz="1800" kern="1200"/>
        </a:p>
      </dsp:txBody>
      <dsp:txXfrm>
        <a:off x="2286138" y="410357"/>
        <a:ext cx="663586" cy="408792"/>
      </dsp:txXfrm>
    </dsp:sp>
    <dsp:sp modelId="{E8CB350F-9E09-4C10-8FAA-0CA411429D2C}">
      <dsp:nvSpPr>
        <dsp:cNvPr id="0" name=""/>
        <dsp:cNvSpPr/>
      </dsp:nvSpPr>
      <dsp:spPr>
        <a:xfrm>
          <a:off x="1068527" y="55523"/>
          <a:ext cx="1791335" cy="1791335"/>
        </a:xfrm>
        <a:prstGeom prst="circularArrow">
          <a:avLst>
            <a:gd name="adj1" fmla="val 8243"/>
            <a:gd name="adj2" fmla="val 575616"/>
            <a:gd name="adj3" fmla="val 3598807"/>
            <a:gd name="adj4" fmla="val 20979646"/>
            <a:gd name="adj5" fmla="val 9616"/>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951F596-5A23-4BDD-9F6B-9F140FD4ACAD}">
      <dsp:nvSpPr>
        <dsp:cNvPr id="0" name=""/>
        <dsp:cNvSpPr/>
      </dsp:nvSpPr>
      <dsp:spPr>
        <a:xfrm>
          <a:off x="1645366" y="1457600"/>
          <a:ext cx="575593" cy="48333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da-DK" sz="1100" kern="1200"/>
            <a:t>Privat bolig</a:t>
          </a:r>
        </a:p>
      </dsp:txBody>
      <dsp:txXfrm>
        <a:off x="1645366" y="1457600"/>
        <a:ext cx="575593" cy="483337"/>
      </dsp:txXfrm>
    </dsp:sp>
    <dsp:sp modelId="{9F1E3B6A-D91D-40AC-A211-AFD252AE2A90}">
      <dsp:nvSpPr>
        <dsp:cNvPr id="0" name=""/>
        <dsp:cNvSpPr/>
      </dsp:nvSpPr>
      <dsp:spPr>
        <a:xfrm>
          <a:off x="1037495" y="67890"/>
          <a:ext cx="1791335" cy="1791335"/>
        </a:xfrm>
        <a:prstGeom prst="circularArrow">
          <a:avLst>
            <a:gd name="adj1" fmla="val 8243"/>
            <a:gd name="adj2" fmla="val 575616"/>
            <a:gd name="adj3" fmla="val 11323469"/>
            <a:gd name="adj4" fmla="val 6781683"/>
            <a:gd name="adj5" fmla="val 9616"/>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FE73B53-6F57-499E-BBA8-39DFDFC3E4D1}">
      <dsp:nvSpPr>
        <dsp:cNvPr id="0" name=""/>
        <dsp:cNvSpPr/>
      </dsp:nvSpPr>
      <dsp:spPr>
        <a:xfrm>
          <a:off x="994213" y="459074"/>
          <a:ext cx="603609" cy="27325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da-DK" sz="1100" kern="1200"/>
            <a:t>Sygehus</a:t>
          </a:r>
        </a:p>
      </dsp:txBody>
      <dsp:txXfrm>
        <a:off x="994213" y="459074"/>
        <a:ext cx="603609" cy="273255"/>
      </dsp:txXfrm>
    </dsp:sp>
    <dsp:sp modelId="{DEB5B550-4205-479B-A57E-BDAFF1C7B679}">
      <dsp:nvSpPr>
        <dsp:cNvPr id="0" name=""/>
        <dsp:cNvSpPr/>
      </dsp:nvSpPr>
      <dsp:spPr>
        <a:xfrm>
          <a:off x="1059445" y="43523"/>
          <a:ext cx="1791335" cy="1791335"/>
        </a:xfrm>
        <a:prstGeom prst="circularArrow">
          <a:avLst>
            <a:gd name="adj1" fmla="val 8243"/>
            <a:gd name="adj2" fmla="val 575616"/>
            <a:gd name="adj3" fmla="val 18267022"/>
            <a:gd name="adj4" fmla="val 13244222"/>
            <a:gd name="adj5" fmla="val 9616"/>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equation1">
  <dgm:title val=""/>
  <dgm:desc val=""/>
  <dgm:catLst>
    <dgm:cat type="relationship" pri="17000"/>
    <dgm:cat type="process"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choose name="Name0">
      <dgm:if name="Name1" func="var" arg="dir" op="equ" val="norm">
        <dgm:alg type="lin">
          <dgm:param type="fallback" val="2D"/>
        </dgm:alg>
      </dgm:if>
      <dgm:else name="Name2">
        <dgm:alg type="lin">
          <dgm:param type="linDir" val="fromR"/>
          <dgm:param type="fallback" val="2D"/>
        </dgm:alg>
      </dgm:else>
    </dgm:choose>
    <dgm:shape xmlns:r="http://schemas.openxmlformats.org/officeDocument/2006/relationships" r:blip="">
      <dgm:adjLst/>
    </dgm:shape>
    <dgm:presOf/>
    <dgm:constrLst>
      <dgm:constr type="w" for="ch" ptType="node" refType="w"/>
      <dgm:constr type="w" for="ch" ptType="sibTrans" refType="w" refFor="ch" refPtType="node" fact="0.58"/>
      <dgm:constr type="primFontSz" for="ch" ptType="node" op="equ" val="65"/>
      <dgm:constr type="primFontSz" for="ch" ptType="sibTrans" op="equ" val="55"/>
      <dgm:constr type="primFontSz" for="ch" ptType="sibTrans" refType="primFontSz" refFor="ch" refPtType="node" op="lte" fact="0.8"/>
      <dgm:constr type="w" for="ch" forName="spacerL" refType="w" refFor="ch" refPtType="sibTrans" fact="0.14"/>
      <dgm:constr type="w" for="ch" forName="spacerR" refType="w" refFor="ch" refPtType="sibTrans" fact="0.14"/>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sibTransForEach" axis="followSib" ptType="sibTrans" cnt="1">
        <dgm:layoutNode name="spacerL">
          <dgm:alg type="sp"/>
          <dgm:shape xmlns:r="http://schemas.openxmlformats.org/officeDocument/2006/relationships" r:blip="">
            <dgm:adjLst/>
          </dgm:shape>
          <dgm:presOf/>
          <dgm:constrLst/>
          <dgm:ruleLst/>
        </dgm:layoutNode>
        <dgm:layoutNode name="sibTrans">
          <dgm:alg type="tx"/>
          <dgm:choose name="Name3">
            <dgm:if name="Name4" axis="followSib" ptType="sibTrans" func="cnt" op="equ" val="0">
              <dgm:shape xmlns:r="http://schemas.openxmlformats.org/officeDocument/2006/relationships" type="mathEqual" r:blip="">
                <dgm:adjLst/>
              </dgm:shape>
            </dgm:if>
            <dgm:else name="Name5">
              <dgm:shape xmlns:r="http://schemas.openxmlformats.org/officeDocument/2006/relationships" type="mathPlus" r:blip="">
                <dgm:adjLst/>
              </dgm:shape>
            </dgm:else>
          </dgm:choose>
          <dgm:presOf axis="self"/>
          <dgm:constrLst>
            <dgm:constr type="h" refType="w"/>
            <dgm:constr type="lMarg"/>
            <dgm:constr type="rMarg"/>
            <dgm:constr type="tMarg"/>
            <dgm:constr type="bMarg"/>
          </dgm:constrLst>
          <dgm:ruleLst>
            <dgm:rule type="primFontSz" val="5" fact="NaN" max="NaN"/>
          </dgm:ruleLst>
        </dgm:layoutNode>
        <dgm:layoutNode name="spacerR">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Kon07</b:Tag>
    <b:SourceType>Report</b:SourceType>
    <b:Guid>{1222A6E8-7318-43D9-B207-1FCC382162A8}</b:Guid>
    <b:LCID>0</b:LCID>
    <b:Author>
      <b:Author>
        <b:Corporate>Ældresagen</b:Corporate>
      </b:Author>
    </b:Author>
    <b:Title>Medlemmerne og boligforhold</b:Title>
    <b:Year>2007</b:Year>
    <b:Publisher>Konsulentfirmaet AION</b:Publisher>
    <b:RefOrder>1</b:RefOrder>
  </b:Source>
  <b:Source>
    <b:Tag>Ser07</b:Tag>
    <b:SourceType>Report</b:SourceType>
    <b:Guid>{44F2B126-E3D0-4128-939A-09DA3F4F392C}</b:Guid>
    <b:LCID>0</b:LCID>
    <b:Author>
      <b:Author>
        <b:Corporate>Servicestyrelsen</b:Corporate>
      </b:Author>
    </b:Author>
    <b:Title>Trivsel og Boligform: Afdækning af trivselsfaktorer hos ældre i plejeboliger</b:Title>
    <b:Year>2007</b:Year>
    <b:Publisher>Servicestyrelsen</b:Publisher>
    <b:RefOrder>2</b:RefOrder>
  </b:Source>
  <b:Source>
    <b:Tag>Det091</b:Tag>
    <b:SourceType>Report</b:SourceType>
    <b:Guid>{ADE7105A-F43F-4FF6-A88D-BA3DF6294961}</b:Guid>
    <b:LCID>0</b:LCID>
    <b:Author>
      <b:Author>
        <b:Corporate>Det Økonomiske Råd</b:Corporate>
      </b:Author>
    </b:Author>
    <b:Title>Sundhedsudgifter og Finanspolitisk holdbarhed, Working Paper</b:Title>
    <b:Year>2009</b:Year>
    <b:RefOrder>3</b:RefOrder>
  </b:Source>
  <b:Source>
    <b:Tag>Æld13</b:Tag>
    <b:SourceType>Report</b:SourceType>
    <b:Guid>{5A99EBD9-3123-4E11-9DB9-0602FE8FF2AD}</b:Guid>
    <b:LCID>0</b:LCID>
    <b:Author>
      <b:Author>
        <b:Corporate>Ældresagen</b:Corporate>
      </b:Author>
    </b:Author>
    <b:Title>Byg demens boliger - Analyse og forslag til investeringer 2013 - 2023</b:Title>
    <b:Year>2013</b:Year>
    <b:RefOrder>4</b:RefOrder>
  </b:Source>
  <b:Source>
    <b:Tag>Dan14</b:Tag>
    <b:SourceType>JournalArticle</b:SourceType>
    <b:Guid>{695A6ED5-460E-4976-97CE-92293BE5B242}</b:Guid>
    <b:LCID>0</b:LCID>
    <b:Title>Stik fingeren i jorden - ikke spaden</b:Title>
    <b:Year>2014</b:Year>
    <b:Author>
      <b:Author>
        <b:Corporate>Danske Kommuner</b:Corporate>
      </b:Author>
    </b:Author>
    <b:JournalName>Danske Kommuner #7, 2014</b:JournalName>
    <b:RefOrder>5</b:RefOrder>
  </b:Source>
</b:Sources>
</file>

<file path=customXml/itemProps1.xml><?xml version="1.0" encoding="utf-8"?>
<ds:datastoreItem xmlns:ds="http://schemas.openxmlformats.org/officeDocument/2006/customXml" ds:itemID="{D80743D6-BD69-4F69-BAA4-C36C4A803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notat</Template>
  <TotalTime>361</TotalTime>
  <Pages>26</Pages>
  <Words>5443</Words>
  <Characters>34621</Characters>
  <Application>Microsoft Office Word</Application>
  <DocSecurity>0</DocSecurity>
  <Lines>288</Lines>
  <Paragraphs>79</Paragraphs>
  <ScaleCrop>false</ScaleCrop>
  <HeadingPairs>
    <vt:vector size="2" baseType="variant">
      <vt:variant>
        <vt:lpstr>Titel</vt:lpstr>
      </vt:variant>
      <vt:variant>
        <vt:i4>1</vt:i4>
      </vt:variant>
    </vt:vector>
  </HeadingPairs>
  <TitlesOfParts>
    <vt:vector size="1" baseType="lpstr">
      <vt:lpstr/>
    </vt:vector>
  </TitlesOfParts>
  <Company>Ballerup Kommune</Company>
  <LinksUpToDate>false</LinksUpToDate>
  <CharactersWithSpaces>39985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Hjort</dc:creator>
  <cp:lastModifiedBy>Allan Hjort</cp:lastModifiedBy>
  <cp:revision>59</cp:revision>
  <cp:lastPrinted>2014-10-09T12:52:00Z</cp:lastPrinted>
  <dcterms:created xsi:type="dcterms:W3CDTF">2015-03-17T06:20:00Z</dcterms:created>
  <dcterms:modified xsi:type="dcterms:W3CDTF">2015-03-24T10:39:00Z</dcterms:modified>
</cp:coreProperties>
</file>